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FB342" w14:textId="5AB45E19" w:rsidR="005A0768" w:rsidRDefault="00AB2E06" w:rsidP="00292366">
      <w:pPr>
        <w:pStyle w:val="Title"/>
      </w:pPr>
      <w:r w:rsidRPr="00292366">
        <w:t>The Western Pushback Against Russian State Media</w:t>
      </w:r>
      <w:r w:rsidR="009F1A8A" w:rsidRPr="00292366">
        <w:t xml:space="preserve"> – The Canadian Framework of the Russia Today Ban</w:t>
      </w:r>
    </w:p>
    <w:sdt>
      <w:sdtPr>
        <w:id w:val="-1413927145"/>
        <w:docPartObj>
          <w:docPartGallery w:val="Table of Contents"/>
          <w:docPartUnique/>
        </w:docPartObj>
      </w:sdtPr>
      <w:sdtEndPr>
        <w:rPr>
          <w:rFonts w:asciiTheme="minorHAnsi" w:eastAsiaTheme="minorEastAsia" w:hAnsiTheme="minorHAnsi" w:cstheme="minorBidi"/>
          <w:b/>
          <w:bCs/>
          <w:noProof/>
          <w:color w:val="auto"/>
          <w:sz w:val="22"/>
          <w:szCs w:val="22"/>
          <w:lang w:eastAsia="zh-CN"/>
        </w:rPr>
      </w:sdtEndPr>
      <w:sdtContent>
        <w:p w14:paraId="6B82B113" w14:textId="558B237A" w:rsidR="00FF53DD" w:rsidRDefault="00FF53DD">
          <w:pPr>
            <w:pStyle w:val="TOCHeading"/>
          </w:pPr>
          <w:r>
            <w:t>Table of Contents</w:t>
          </w:r>
        </w:p>
        <w:p w14:paraId="58A49A89" w14:textId="38AC6938" w:rsidR="00435652" w:rsidRDefault="00FF53DD">
          <w:pPr>
            <w:pStyle w:val="TOC1"/>
            <w:tabs>
              <w:tab w:val="right" w:leader="dot" w:pos="9350"/>
            </w:tabs>
            <w:rPr>
              <w:noProof/>
            </w:rPr>
          </w:pPr>
          <w:r>
            <w:fldChar w:fldCharType="begin"/>
          </w:r>
          <w:r>
            <w:instrText xml:space="preserve"> TOC \o "1-3" \h \z \u </w:instrText>
          </w:r>
          <w:r>
            <w:fldChar w:fldCharType="separate"/>
          </w:r>
          <w:hyperlink w:anchor="_Toc101364436" w:history="1">
            <w:r w:rsidR="00435652" w:rsidRPr="008E4EAC">
              <w:rPr>
                <w:rStyle w:val="Hyperlink"/>
                <w:noProof/>
                <w:lang w:val="en-CA"/>
              </w:rPr>
              <w:t>Introduction:</w:t>
            </w:r>
            <w:r w:rsidR="00435652">
              <w:rPr>
                <w:noProof/>
                <w:webHidden/>
              </w:rPr>
              <w:tab/>
            </w:r>
            <w:r w:rsidR="00435652">
              <w:rPr>
                <w:noProof/>
                <w:webHidden/>
              </w:rPr>
              <w:fldChar w:fldCharType="begin"/>
            </w:r>
            <w:r w:rsidR="00435652">
              <w:rPr>
                <w:noProof/>
                <w:webHidden/>
              </w:rPr>
              <w:instrText xml:space="preserve"> PAGEREF _Toc101364436 \h </w:instrText>
            </w:r>
            <w:r w:rsidR="00435652">
              <w:rPr>
                <w:noProof/>
                <w:webHidden/>
              </w:rPr>
            </w:r>
            <w:r w:rsidR="00435652">
              <w:rPr>
                <w:noProof/>
                <w:webHidden/>
              </w:rPr>
              <w:fldChar w:fldCharType="separate"/>
            </w:r>
            <w:r w:rsidR="00435652">
              <w:rPr>
                <w:noProof/>
                <w:webHidden/>
              </w:rPr>
              <w:t>1</w:t>
            </w:r>
            <w:r w:rsidR="00435652">
              <w:rPr>
                <w:noProof/>
                <w:webHidden/>
              </w:rPr>
              <w:fldChar w:fldCharType="end"/>
            </w:r>
          </w:hyperlink>
        </w:p>
        <w:p w14:paraId="3DC95D33" w14:textId="69F6102B" w:rsidR="00435652" w:rsidRDefault="00435652">
          <w:pPr>
            <w:pStyle w:val="TOC1"/>
            <w:tabs>
              <w:tab w:val="right" w:leader="dot" w:pos="9350"/>
            </w:tabs>
            <w:rPr>
              <w:noProof/>
            </w:rPr>
          </w:pPr>
          <w:hyperlink w:anchor="_Toc101364437" w:history="1">
            <w:r w:rsidRPr="008E4EAC">
              <w:rPr>
                <w:rStyle w:val="Hyperlink"/>
                <w:noProof/>
                <w:lang w:val="en-CA"/>
              </w:rPr>
              <w:t>What is RT?</w:t>
            </w:r>
            <w:r>
              <w:rPr>
                <w:noProof/>
                <w:webHidden/>
              </w:rPr>
              <w:tab/>
            </w:r>
            <w:r>
              <w:rPr>
                <w:noProof/>
                <w:webHidden/>
              </w:rPr>
              <w:fldChar w:fldCharType="begin"/>
            </w:r>
            <w:r>
              <w:rPr>
                <w:noProof/>
                <w:webHidden/>
              </w:rPr>
              <w:instrText xml:space="preserve"> PAGEREF _Toc101364437 \h </w:instrText>
            </w:r>
            <w:r>
              <w:rPr>
                <w:noProof/>
                <w:webHidden/>
              </w:rPr>
            </w:r>
            <w:r>
              <w:rPr>
                <w:noProof/>
                <w:webHidden/>
              </w:rPr>
              <w:fldChar w:fldCharType="separate"/>
            </w:r>
            <w:r>
              <w:rPr>
                <w:noProof/>
                <w:webHidden/>
              </w:rPr>
              <w:t>2</w:t>
            </w:r>
            <w:r>
              <w:rPr>
                <w:noProof/>
                <w:webHidden/>
              </w:rPr>
              <w:fldChar w:fldCharType="end"/>
            </w:r>
          </w:hyperlink>
        </w:p>
        <w:p w14:paraId="710948CA" w14:textId="0734CB16" w:rsidR="00435652" w:rsidRDefault="00435652">
          <w:pPr>
            <w:pStyle w:val="TOC2"/>
            <w:tabs>
              <w:tab w:val="right" w:leader="dot" w:pos="9350"/>
            </w:tabs>
            <w:rPr>
              <w:noProof/>
            </w:rPr>
          </w:pPr>
          <w:hyperlink w:anchor="_Toc101364438" w:history="1">
            <w:r w:rsidRPr="008E4EAC">
              <w:rPr>
                <w:rStyle w:val="Hyperlink"/>
                <w:noProof/>
                <w:lang w:val="en-CA"/>
              </w:rPr>
              <w:t>The argument for permitting RT</w:t>
            </w:r>
            <w:r>
              <w:rPr>
                <w:noProof/>
                <w:webHidden/>
              </w:rPr>
              <w:tab/>
            </w:r>
            <w:r>
              <w:rPr>
                <w:noProof/>
                <w:webHidden/>
              </w:rPr>
              <w:fldChar w:fldCharType="begin"/>
            </w:r>
            <w:r>
              <w:rPr>
                <w:noProof/>
                <w:webHidden/>
              </w:rPr>
              <w:instrText xml:space="preserve"> PAGEREF _Toc101364438 \h </w:instrText>
            </w:r>
            <w:r>
              <w:rPr>
                <w:noProof/>
                <w:webHidden/>
              </w:rPr>
            </w:r>
            <w:r>
              <w:rPr>
                <w:noProof/>
                <w:webHidden/>
              </w:rPr>
              <w:fldChar w:fldCharType="separate"/>
            </w:r>
            <w:r>
              <w:rPr>
                <w:noProof/>
                <w:webHidden/>
              </w:rPr>
              <w:t>3</w:t>
            </w:r>
            <w:r>
              <w:rPr>
                <w:noProof/>
                <w:webHidden/>
              </w:rPr>
              <w:fldChar w:fldCharType="end"/>
            </w:r>
          </w:hyperlink>
        </w:p>
        <w:p w14:paraId="0C3A505E" w14:textId="1EF87522" w:rsidR="00435652" w:rsidRDefault="00435652">
          <w:pPr>
            <w:pStyle w:val="TOC2"/>
            <w:tabs>
              <w:tab w:val="right" w:leader="dot" w:pos="9350"/>
            </w:tabs>
            <w:rPr>
              <w:noProof/>
            </w:rPr>
          </w:pPr>
          <w:hyperlink w:anchor="_Toc101364439" w:history="1">
            <w:r w:rsidRPr="008E4EAC">
              <w:rPr>
                <w:rStyle w:val="Hyperlink"/>
                <w:noProof/>
                <w:lang w:val="en-CA"/>
              </w:rPr>
              <w:t>The argument for banning RT</w:t>
            </w:r>
            <w:r>
              <w:rPr>
                <w:noProof/>
                <w:webHidden/>
              </w:rPr>
              <w:tab/>
            </w:r>
            <w:r>
              <w:rPr>
                <w:noProof/>
                <w:webHidden/>
              </w:rPr>
              <w:fldChar w:fldCharType="begin"/>
            </w:r>
            <w:r>
              <w:rPr>
                <w:noProof/>
                <w:webHidden/>
              </w:rPr>
              <w:instrText xml:space="preserve"> PAGEREF _Toc101364439 \h </w:instrText>
            </w:r>
            <w:r>
              <w:rPr>
                <w:noProof/>
                <w:webHidden/>
              </w:rPr>
            </w:r>
            <w:r>
              <w:rPr>
                <w:noProof/>
                <w:webHidden/>
              </w:rPr>
              <w:fldChar w:fldCharType="separate"/>
            </w:r>
            <w:r>
              <w:rPr>
                <w:noProof/>
                <w:webHidden/>
              </w:rPr>
              <w:t>4</w:t>
            </w:r>
            <w:r>
              <w:rPr>
                <w:noProof/>
                <w:webHidden/>
              </w:rPr>
              <w:fldChar w:fldCharType="end"/>
            </w:r>
          </w:hyperlink>
        </w:p>
        <w:p w14:paraId="3429D7AD" w14:textId="25EA0EFA" w:rsidR="00435652" w:rsidRDefault="00435652">
          <w:pPr>
            <w:pStyle w:val="TOC1"/>
            <w:tabs>
              <w:tab w:val="right" w:leader="dot" w:pos="9350"/>
            </w:tabs>
            <w:rPr>
              <w:noProof/>
            </w:rPr>
          </w:pPr>
          <w:hyperlink w:anchor="_Toc101364440" w:history="1">
            <w:r w:rsidRPr="008E4EAC">
              <w:rPr>
                <w:rStyle w:val="Hyperlink"/>
                <w:noProof/>
                <w:lang w:val="en-CA"/>
              </w:rPr>
              <w:t>CRTC decision on Russia Today’s broadcasting rights in Canada</w:t>
            </w:r>
            <w:r>
              <w:rPr>
                <w:noProof/>
                <w:webHidden/>
              </w:rPr>
              <w:tab/>
            </w:r>
            <w:r>
              <w:rPr>
                <w:noProof/>
                <w:webHidden/>
              </w:rPr>
              <w:fldChar w:fldCharType="begin"/>
            </w:r>
            <w:r>
              <w:rPr>
                <w:noProof/>
                <w:webHidden/>
              </w:rPr>
              <w:instrText xml:space="preserve"> PAGEREF _Toc101364440 \h </w:instrText>
            </w:r>
            <w:r>
              <w:rPr>
                <w:noProof/>
                <w:webHidden/>
              </w:rPr>
            </w:r>
            <w:r>
              <w:rPr>
                <w:noProof/>
                <w:webHidden/>
              </w:rPr>
              <w:fldChar w:fldCharType="separate"/>
            </w:r>
            <w:r>
              <w:rPr>
                <w:noProof/>
                <w:webHidden/>
              </w:rPr>
              <w:t>6</w:t>
            </w:r>
            <w:r>
              <w:rPr>
                <w:noProof/>
                <w:webHidden/>
              </w:rPr>
              <w:fldChar w:fldCharType="end"/>
            </w:r>
          </w:hyperlink>
        </w:p>
        <w:p w14:paraId="4443E429" w14:textId="4E21FC8E" w:rsidR="00435652" w:rsidRDefault="00435652">
          <w:pPr>
            <w:pStyle w:val="TOC2"/>
            <w:tabs>
              <w:tab w:val="right" w:leader="dot" w:pos="9350"/>
            </w:tabs>
            <w:rPr>
              <w:noProof/>
            </w:rPr>
          </w:pPr>
          <w:hyperlink w:anchor="_Toc101364441" w:history="1">
            <w:r w:rsidRPr="008E4EAC">
              <w:rPr>
                <w:rStyle w:val="Hyperlink"/>
                <w:noProof/>
                <w:lang w:val="en-CA"/>
              </w:rPr>
              <w:t>The regulatory framework</w:t>
            </w:r>
            <w:r>
              <w:rPr>
                <w:noProof/>
                <w:webHidden/>
              </w:rPr>
              <w:tab/>
            </w:r>
            <w:r>
              <w:rPr>
                <w:noProof/>
                <w:webHidden/>
              </w:rPr>
              <w:fldChar w:fldCharType="begin"/>
            </w:r>
            <w:r>
              <w:rPr>
                <w:noProof/>
                <w:webHidden/>
              </w:rPr>
              <w:instrText xml:space="preserve"> PAGEREF _Toc101364441 \h </w:instrText>
            </w:r>
            <w:r>
              <w:rPr>
                <w:noProof/>
                <w:webHidden/>
              </w:rPr>
            </w:r>
            <w:r>
              <w:rPr>
                <w:noProof/>
                <w:webHidden/>
              </w:rPr>
              <w:fldChar w:fldCharType="separate"/>
            </w:r>
            <w:r>
              <w:rPr>
                <w:noProof/>
                <w:webHidden/>
              </w:rPr>
              <w:t>6</w:t>
            </w:r>
            <w:r>
              <w:rPr>
                <w:noProof/>
                <w:webHidden/>
              </w:rPr>
              <w:fldChar w:fldCharType="end"/>
            </w:r>
          </w:hyperlink>
        </w:p>
        <w:p w14:paraId="7B94CA57" w14:textId="239B256B" w:rsidR="00435652" w:rsidRDefault="00435652">
          <w:pPr>
            <w:pStyle w:val="TOC2"/>
            <w:tabs>
              <w:tab w:val="right" w:leader="dot" w:pos="9350"/>
            </w:tabs>
            <w:rPr>
              <w:noProof/>
            </w:rPr>
          </w:pPr>
          <w:hyperlink w:anchor="_Toc101364442" w:history="1">
            <w:r w:rsidRPr="008E4EAC">
              <w:rPr>
                <w:rStyle w:val="Hyperlink"/>
                <w:noProof/>
                <w:lang w:val="en-CA"/>
              </w:rPr>
              <w:t>Particulars of the CRTC decision:</w:t>
            </w:r>
            <w:r>
              <w:rPr>
                <w:noProof/>
                <w:webHidden/>
              </w:rPr>
              <w:tab/>
            </w:r>
            <w:r>
              <w:rPr>
                <w:noProof/>
                <w:webHidden/>
              </w:rPr>
              <w:fldChar w:fldCharType="begin"/>
            </w:r>
            <w:r>
              <w:rPr>
                <w:noProof/>
                <w:webHidden/>
              </w:rPr>
              <w:instrText xml:space="preserve"> PAGEREF _Toc101364442 \h </w:instrText>
            </w:r>
            <w:r>
              <w:rPr>
                <w:noProof/>
                <w:webHidden/>
              </w:rPr>
            </w:r>
            <w:r>
              <w:rPr>
                <w:noProof/>
                <w:webHidden/>
              </w:rPr>
              <w:fldChar w:fldCharType="separate"/>
            </w:r>
            <w:r>
              <w:rPr>
                <w:noProof/>
                <w:webHidden/>
              </w:rPr>
              <w:t>8</w:t>
            </w:r>
            <w:r>
              <w:rPr>
                <w:noProof/>
                <w:webHidden/>
              </w:rPr>
              <w:fldChar w:fldCharType="end"/>
            </w:r>
          </w:hyperlink>
        </w:p>
        <w:p w14:paraId="16235675" w14:textId="79C58E86" w:rsidR="00435652" w:rsidRDefault="00435652">
          <w:pPr>
            <w:pStyle w:val="TOC3"/>
            <w:tabs>
              <w:tab w:val="right" w:leader="dot" w:pos="9350"/>
            </w:tabs>
            <w:rPr>
              <w:noProof/>
            </w:rPr>
          </w:pPr>
          <w:hyperlink w:anchor="_Toc101364443" w:history="1">
            <w:r w:rsidRPr="008E4EAC">
              <w:rPr>
                <w:rStyle w:val="Hyperlink"/>
                <w:noProof/>
                <w:lang w:val="en-CA"/>
              </w:rPr>
              <w:t>Abusive comment</w:t>
            </w:r>
            <w:r>
              <w:rPr>
                <w:noProof/>
                <w:webHidden/>
              </w:rPr>
              <w:tab/>
            </w:r>
            <w:r>
              <w:rPr>
                <w:noProof/>
                <w:webHidden/>
              </w:rPr>
              <w:fldChar w:fldCharType="begin"/>
            </w:r>
            <w:r>
              <w:rPr>
                <w:noProof/>
                <w:webHidden/>
              </w:rPr>
              <w:instrText xml:space="preserve"> PAGEREF _Toc101364443 \h </w:instrText>
            </w:r>
            <w:r>
              <w:rPr>
                <w:noProof/>
                <w:webHidden/>
              </w:rPr>
            </w:r>
            <w:r>
              <w:rPr>
                <w:noProof/>
                <w:webHidden/>
              </w:rPr>
              <w:fldChar w:fldCharType="separate"/>
            </w:r>
            <w:r>
              <w:rPr>
                <w:noProof/>
                <w:webHidden/>
              </w:rPr>
              <w:t>9</w:t>
            </w:r>
            <w:r>
              <w:rPr>
                <w:noProof/>
                <w:webHidden/>
              </w:rPr>
              <w:fldChar w:fldCharType="end"/>
            </w:r>
          </w:hyperlink>
        </w:p>
        <w:p w14:paraId="64B87AE0" w14:textId="5D09D9FF" w:rsidR="00435652" w:rsidRDefault="00435652">
          <w:pPr>
            <w:pStyle w:val="TOC3"/>
            <w:tabs>
              <w:tab w:val="right" w:leader="dot" w:pos="9350"/>
            </w:tabs>
            <w:rPr>
              <w:noProof/>
            </w:rPr>
          </w:pPr>
          <w:hyperlink w:anchor="_Toc101364444" w:history="1">
            <w:r w:rsidRPr="008E4EAC">
              <w:rPr>
                <w:rStyle w:val="Hyperlink"/>
                <w:noProof/>
                <w:lang w:val="en-CA"/>
              </w:rPr>
              <w:t>Furthering the general policy goals under s.3</w:t>
            </w:r>
            <w:r>
              <w:rPr>
                <w:noProof/>
                <w:webHidden/>
              </w:rPr>
              <w:tab/>
            </w:r>
            <w:r>
              <w:rPr>
                <w:noProof/>
                <w:webHidden/>
              </w:rPr>
              <w:fldChar w:fldCharType="begin"/>
            </w:r>
            <w:r>
              <w:rPr>
                <w:noProof/>
                <w:webHidden/>
              </w:rPr>
              <w:instrText xml:space="preserve"> PAGEREF _Toc101364444 \h </w:instrText>
            </w:r>
            <w:r>
              <w:rPr>
                <w:noProof/>
                <w:webHidden/>
              </w:rPr>
            </w:r>
            <w:r>
              <w:rPr>
                <w:noProof/>
                <w:webHidden/>
              </w:rPr>
              <w:fldChar w:fldCharType="separate"/>
            </w:r>
            <w:r>
              <w:rPr>
                <w:noProof/>
                <w:webHidden/>
              </w:rPr>
              <w:t>9</w:t>
            </w:r>
            <w:r>
              <w:rPr>
                <w:noProof/>
                <w:webHidden/>
              </w:rPr>
              <w:fldChar w:fldCharType="end"/>
            </w:r>
          </w:hyperlink>
        </w:p>
        <w:p w14:paraId="144EE24E" w14:textId="2607FF1A" w:rsidR="00435652" w:rsidRDefault="00435652">
          <w:pPr>
            <w:pStyle w:val="TOC1"/>
            <w:tabs>
              <w:tab w:val="right" w:leader="dot" w:pos="9350"/>
            </w:tabs>
            <w:rPr>
              <w:noProof/>
            </w:rPr>
          </w:pPr>
          <w:hyperlink w:anchor="_Toc101364445" w:history="1">
            <w:r w:rsidRPr="008E4EAC">
              <w:rPr>
                <w:rStyle w:val="Hyperlink"/>
                <w:noProof/>
                <w:lang w:val="en-CA"/>
              </w:rPr>
              <w:t>What remedies are available to RT?</w:t>
            </w:r>
            <w:r>
              <w:rPr>
                <w:noProof/>
                <w:webHidden/>
              </w:rPr>
              <w:tab/>
            </w:r>
            <w:r>
              <w:rPr>
                <w:noProof/>
                <w:webHidden/>
              </w:rPr>
              <w:fldChar w:fldCharType="begin"/>
            </w:r>
            <w:r>
              <w:rPr>
                <w:noProof/>
                <w:webHidden/>
              </w:rPr>
              <w:instrText xml:space="preserve"> PAGEREF _Toc101364445 \h </w:instrText>
            </w:r>
            <w:r>
              <w:rPr>
                <w:noProof/>
                <w:webHidden/>
              </w:rPr>
            </w:r>
            <w:r>
              <w:rPr>
                <w:noProof/>
                <w:webHidden/>
              </w:rPr>
              <w:fldChar w:fldCharType="separate"/>
            </w:r>
            <w:r>
              <w:rPr>
                <w:noProof/>
                <w:webHidden/>
              </w:rPr>
              <w:t>10</w:t>
            </w:r>
            <w:r>
              <w:rPr>
                <w:noProof/>
                <w:webHidden/>
              </w:rPr>
              <w:fldChar w:fldCharType="end"/>
            </w:r>
          </w:hyperlink>
        </w:p>
        <w:p w14:paraId="314C98A3" w14:textId="60509054" w:rsidR="00435652" w:rsidRDefault="00435652">
          <w:pPr>
            <w:pStyle w:val="TOC2"/>
            <w:tabs>
              <w:tab w:val="right" w:leader="dot" w:pos="9350"/>
            </w:tabs>
            <w:rPr>
              <w:noProof/>
            </w:rPr>
          </w:pPr>
          <w:hyperlink w:anchor="_Toc101364446" w:history="1">
            <w:r w:rsidRPr="008E4EAC">
              <w:rPr>
                <w:rStyle w:val="Hyperlink"/>
                <w:noProof/>
                <w:lang w:val="en-CA"/>
              </w:rPr>
              <w:t>Statutory right of appeal under s.31(2) of the Broadcasting Act</w:t>
            </w:r>
            <w:r>
              <w:rPr>
                <w:noProof/>
                <w:webHidden/>
              </w:rPr>
              <w:tab/>
            </w:r>
            <w:r>
              <w:rPr>
                <w:noProof/>
                <w:webHidden/>
              </w:rPr>
              <w:fldChar w:fldCharType="begin"/>
            </w:r>
            <w:r>
              <w:rPr>
                <w:noProof/>
                <w:webHidden/>
              </w:rPr>
              <w:instrText xml:space="preserve"> PAGEREF _Toc101364446 \h </w:instrText>
            </w:r>
            <w:r>
              <w:rPr>
                <w:noProof/>
                <w:webHidden/>
              </w:rPr>
            </w:r>
            <w:r>
              <w:rPr>
                <w:noProof/>
                <w:webHidden/>
              </w:rPr>
              <w:fldChar w:fldCharType="separate"/>
            </w:r>
            <w:r>
              <w:rPr>
                <w:noProof/>
                <w:webHidden/>
              </w:rPr>
              <w:t>11</w:t>
            </w:r>
            <w:r>
              <w:rPr>
                <w:noProof/>
                <w:webHidden/>
              </w:rPr>
              <w:fldChar w:fldCharType="end"/>
            </w:r>
          </w:hyperlink>
        </w:p>
        <w:p w14:paraId="628877EF" w14:textId="284F8DEF" w:rsidR="00435652" w:rsidRDefault="00435652">
          <w:pPr>
            <w:pStyle w:val="TOC2"/>
            <w:tabs>
              <w:tab w:val="right" w:leader="dot" w:pos="9350"/>
            </w:tabs>
            <w:rPr>
              <w:noProof/>
            </w:rPr>
          </w:pPr>
          <w:hyperlink w:anchor="_Toc101364447" w:history="1">
            <w:r w:rsidRPr="008E4EAC">
              <w:rPr>
                <w:rStyle w:val="Hyperlink"/>
                <w:noProof/>
                <w:lang w:val="en-CA"/>
              </w:rPr>
              <w:t>Charter challenge to s.5(1)(b) of the Television Broadcasting Regulations</w:t>
            </w:r>
            <w:r>
              <w:rPr>
                <w:noProof/>
                <w:webHidden/>
              </w:rPr>
              <w:tab/>
            </w:r>
            <w:r>
              <w:rPr>
                <w:noProof/>
                <w:webHidden/>
              </w:rPr>
              <w:fldChar w:fldCharType="begin"/>
            </w:r>
            <w:r>
              <w:rPr>
                <w:noProof/>
                <w:webHidden/>
              </w:rPr>
              <w:instrText xml:space="preserve"> PAGEREF _Toc101364447 \h </w:instrText>
            </w:r>
            <w:r>
              <w:rPr>
                <w:noProof/>
                <w:webHidden/>
              </w:rPr>
            </w:r>
            <w:r>
              <w:rPr>
                <w:noProof/>
                <w:webHidden/>
              </w:rPr>
              <w:fldChar w:fldCharType="separate"/>
            </w:r>
            <w:r>
              <w:rPr>
                <w:noProof/>
                <w:webHidden/>
              </w:rPr>
              <w:t>16</w:t>
            </w:r>
            <w:r>
              <w:rPr>
                <w:noProof/>
                <w:webHidden/>
              </w:rPr>
              <w:fldChar w:fldCharType="end"/>
            </w:r>
          </w:hyperlink>
        </w:p>
        <w:p w14:paraId="286DFA0C" w14:textId="7721D9CB" w:rsidR="00435652" w:rsidRDefault="00435652">
          <w:pPr>
            <w:pStyle w:val="TOC3"/>
            <w:tabs>
              <w:tab w:val="right" w:leader="dot" w:pos="9350"/>
            </w:tabs>
            <w:rPr>
              <w:noProof/>
            </w:rPr>
          </w:pPr>
          <w:hyperlink w:anchor="_Toc101364448" w:history="1">
            <w:r w:rsidRPr="008E4EAC">
              <w:rPr>
                <w:rStyle w:val="Hyperlink"/>
                <w:noProof/>
              </w:rPr>
              <w:t>s.5(1)(b) prima facie violates the Charter</w:t>
            </w:r>
            <w:r>
              <w:rPr>
                <w:noProof/>
                <w:webHidden/>
              </w:rPr>
              <w:tab/>
            </w:r>
            <w:r>
              <w:rPr>
                <w:noProof/>
                <w:webHidden/>
              </w:rPr>
              <w:fldChar w:fldCharType="begin"/>
            </w:r>
            <w:r>
              <w:rPr>
                <w:noProof/>
                <w:webHidden/>
              </w:rPr>
              <w:instrText xml:space="preserve"> PAGEREF _Toc101364448 \h </w:instrText>
            </w:r>
            <w:r>
              <w:rPr>
                <w:noProof/>
                <w:webHidden/>
              </w:rPr>
            </w:r>
            <w:r>
              <w:rPr>
                <w:noProof/>
                <w:webHidden/>
              </w:rPr>
              <w:fldChar w:fldCharType="separate"/>
            </w:r>
            <w:r>
              <w:rPr>
                <w:noProof/>
                <w:webHidden/>
              </w:rPr>
              <w:t>16</w:t>
            </w:r>
            <w:r>
              <w:rPr>
                <w:noProof/>
                <w:webHidden/>
              </w:rPr>
              <w:fldChar w:fldCharType="end"/>
            </w:r>
          </w:hyperlink>
        </w:p>
        <w:p w14:paraId="1E1E5941" w14:textId="454340AC" w:rsidR="00435652" w:rsidRDefault="00435652">
          <w:pPr>
            <w:pStyle w:val="TOC3"/>
            <w:tabs>
              <w:tab w:val="right" w:leader="dot" w:pos="9350"/>
            </w:tabs>
            <w:rPr>
              <w:noProof/>
            </w:rPr>
          </w:pPr>
          <w:hyperlink w:anchor="_Toc101364449" w:history="1">
            <w:r w:rsidRPr="008E4EAC">
              <w:rPr>
                <w:rStyle w:val="Hyperlink"/>
                <w:noProof/>
              </w:rPr>
              <w:t>Restriction justified under s.1 of the Charter</w:t>
            </w:r>
            <w:r>
              <w:rPr>
                <w:noProof/>
                <w:webHidden/>
              </w:rPr>
              <w:tab/>
            </w:r>
            <w:r>
              <w:rPr>
                <w:noProof/>
                <w:webHidden/>
              </w:rPr>
              <w:fldChar w:fldCharType="begin"/>
            </w:r>
            <w:r>
              <w:rPr>
                <w:noProof/>
                <w:webHidden/>
              </w:rPr>
              <w:instrText xml:space="preserve"> PAGEREF _Toc101364449 \h </w:instrText>
            </w:r>
            <w:r>
              <w:rPr>
                <w:noProof/>
                <w:webHidden/>
              </w:rPr>
            </w:r>
            <w:r>
              <w:rPr>
                <w:noProof/>
                <w:webHidden/>
              </w:rPr>
              <w:fldChar w:fldCharType="separate"/>
            </w:r>
            <w:r>
              <w:rPr>
                <w:noProof/>
                <w:webHidden/>
              </w:rPr>
              <w:t>18</w:t>
            </w:r>
            <w:r>
              <w:rPr>
                <w:noProof/>
                <w:webHidden/>
              </w:rPr>
              <w:fldChar w:fldCharType="end"/>
            </w:r>
          </w:hyperlink>
        </w:p>
        <w:p w14:paraId="0D52E39D" w14:textId="29B18700" w:rsidR="00435652" w:rsidRDefault="00435652">
          <w:pPr>
            <w:pStyle w:val="TOC2"/>
            <w:tabs>
              <w:tab w:val="right" w:leader="dot" w:pos="9350"/>
            </w:tabs>
            <w:rPr>
              <w:noProof/>
            </w:rPr>
          </w:pPr>
          <w:hyperlink w:anchor="_Toc101364450" w:history="1">
            <w:r w:rsidRPr="008E4EAC">
              <w:rPr>
                <w:rStyle w:val="Hyperlink"/>
                <w:noProof/>
                <w:lang w:val="en-CA"/>
              </w:rPr>
              <w:t>Charter challenge to the CRTC decision</w:t>
            </w:r>
            <w:r>
              <w:rPr>
                <w:noProof/>
                <w:webHidden/>
              </w:rPr>
              <w:tab/>
            </w:r>
            <w:r>
              <w:rPr>
                <w:noProof/>
                <w:webHidden/>
              </w:rPr>
              <w:fldChar w:fldCharType="begin"/>
            </w:r>
            <w:r>
              <w:rPr>
                <w:noProof/>
                <w:webHidden/>
              </w:rPr>
              <w:instrText xml:space="preserve"> PAGEREF _Toc101364450 \h </w:instrText>
            </w:r>
            <w:r>
              <w:rPr>
                <w:noProof/>
                <w:webHidden/>
              </w:rPr>
            </w:r>
            <w:r>
              <w:rPr>
                <w:noProof/>
                <w:webHidden/>
              </w:rPr>
              <w:fldChar w:fldCharType="separate"/>
            </w:r>
            <w:r>
              <w:rPr>
                <w:noProof/>
                <w:webHidden/>
              </w:rPr>
              <w:t>21</w:t>
            </w:r>
            <w:r>
              <w:rPr>
                <w:noProof/>
                <w:webHidden/>
              </w:rPr>
              <w:fldChar w:fldCharType="end"/>
            </w:r>
          </w:hyperlink>
        </w:p>
        <w:p w14:paraId="3FF2BF13" w14:textId="02A507B2" w:rsidR="00435652" w:rsidRDefault="00435652">
          <w:pPr>
            <w:pStyle w:val="TOC1"/>
            <w:tabs>
              <w:tab w:val="right" w:leader="dot" w:pos="9350"/>
            </w:tabs>
            <w:rPr>
              <w:noProof/>
            </w:rPr>
          </w:pPr>
          <w:hyperlink w:anchor="_Toc101364451" w:history="1">
            <w:r w:rsidRPr="008E4EAC">
              <w:rPr>
                <w:rStyle w:val="Hyperlink"/>
                <w:noProof/>
                <w:lang w:val="en-CA"/>
              </w:rPr>
              <w:t>Conclusion</w:t>
            </w:r>
            <w:r>
              <w:rPr>
                <w:noProof/>
                <w:webHidden/>
              </w:rPr>
              <w:tab/>
            </w:r>
            <w:r>
              <w:rPr>
                <w:noProof/>
                <w:webHidden/>
              </w:rPr>
              <w:fldChar w:fldCharType="begin"/>
            </w:r>
            <w:r>
              <w:rPr>
                <w:noProof/>
                <w:webHidden/>
              </w:rPr>
              <w:instrText xml:space="preserve"> PAGEREF _Toc101364451 \h </w:instrText>
            </w:r>
            <w:r>
              <w:rPr>
                <w:noProof/>
                <w:webHidden/>
              </w:rPr>
            </w:r>
            <w:r>
              <w:rPr>
                <w:noProof/>
                <w:webHidden/>
              </w:rPr>
              <w:fldChar w:fldCharType="separate"/>
            </w:r>
            <w:r>
              <w:rPr>
                <w:noProof/>
                <w:webHidden/>
              </w:rPr>
              <w:t>23</w:t>
            </w:r>
            <w:r>
              <w:rPr>
                <w:noProof/>
                <w:webHidden/>
              </w:rPr>
              <w:fldChar w:fldCharType="end"/>
            </w:r>
          </w:hyperlink>
        </w:p>
        <w:p w14:paraId="0FD0183F" w14:textId="5E9908DA" w:rsidR="00FF53DD" w:rsidRDefault="00FF53DD">
          <w:r>
            <w:rPr>
              <w:b/>
              <w:bCs/>
              <w:noProof/>
            </w:rPr>
            <w:fldChar w:fldCharType="end"/>
          </w:r>
        </w:p>
      </w:sdtContent>
    </w:sdt>
    <w:p w14:paraId="58EAE0FE" w14:textId="77777777" w:rsidR="00292366" w:rsidRPr="00292366" w:rsidRDefault="00292366" w:rsidP="00292366"/>
    <w:p w14:paraId="548AD34D" w14:textId="182CE886" w:rsidR="009F1A8A" w:rsidRPr="0065125A" w:rsidRDefault="009F1A8A" w:rsidP="00292366">
      <w:pPr>
        <w:pStyle w:val="Heading1"/>
        <w:rPr>
          <w:lang w:val="en-CA"/>
        </w:rPr>
      </w:pPr>
      <w:bookmarkStart w:id="0" w:name="_Toc101364436"/>
      <w:r w:rsidRPr="0065125A">
        <w:rPr>
          <w:lang w:val="en-CA"/>
        </w:rPr>
        <w:t>Introduction:</w:t>
      </w:r>
      <w:bookmarkEnd w:id="0"/>
    </w:p>
    <w:p w14:paraId="70D0E7F3" w14:textId="7D169792" w:rsidR="007E275D" w:rsidRPr="0065125A" w:rsidRDefault="009F1A8A" w:rsidP="0041270A">
      <w:pPr>
        <w:spacing w:line="480" w:lineRule="auto"/>
        <w:ind w:firstLine="720"/>
        <w:rPr>
          <w:rFonts w:cstheme="minorHAnsi"/>
          <w:lang w:val="en-CA"/>
        </w:rPr>
      </w:pPr>
      <w:r w:rsidRPr="0065125A">
        <w:rPr>
          <w:rFonts w:cstheme="minorHAnsi"/>
          <w:lang w:val="en-CA"/>
        </w:rPr>
        <w:t>In response to Russia’s unprovoked military incursion into Ukraine, an alliance of democratic countries</w:t>
      </w:r>
      <w:r w:rsidR="000933CA" w:rsidRPr="0065125A">
        <w:rPr>
          <w:rFonts w:cstheme="minorHAnsi"/>
          <w:lang w:val="en-CA"/>
        </w:rPr>
        <w:t>,</w:t>
      </w:r>
      <w:r w:rsidRPr="0065125A">
        <w:rPr>
          <w:rFonts w:cstheme="minorHAnsi"/>
          <w:lang w:val="en-CA"/>
        </w:rPr>
        <w:t xml:space="preserve"> including the </w:t>
      </w:r>
      <w:r w:rsidR="00216D79" w:rsidRPr="0065125A">
        <w:rPr>
          <w:rFonts w:cstheme="minorHAnsi"/>
          <w:lang w:val="en-CA"/>
        </w:rPr>
        <w:t>European Union (‘</w:t>
      </w:r>
      <w:r w:rsidRPr="0065125A">
        <w:rPr>
          <w:rFonts w:cstheme="minorHAnsi"/>
          <w:lang w:val="en-CA"/>
        </w:rPr>
        <w:t>EU</w:t>
      </w:r>
      <w:r w:rsidR="00216D79" w:rsidRPr="0065125A">
        <w:rPr>
          <w:rFonts w:cstheme="minorHAnsi"/>
          <w:lang w:val="en-CA"/>
        </w:rPr>
        <w:t>’)</w:t>
      </w:r>
      <w:r w:rsidRPr="0065125A">
        <w:rPr>
          <w:rFonts w:cstheme="minorHAnsi"/>
          <w:lang w:val="en-CA"/>
        </w:rPr>
        <w:t>, the U</w:t>
      </w:r>
      <w:r w:rsidR="00216D79" w:rsidRPr="0065125A">
        <w:rPr>
          <w:rFonts w:cstheme="minorHAnsi"/>
          <w:lang w:val="en-CA"/>
        </w:rPr>
        <w:t>nited States (‘US’)</w:t>
      </w:r>
      <w:r w:rsidRPr="0065125A">
        <w:rPr>
          <w:rFonts w:cstheme="minorHAnsi"/>
          <w:lang w:val="en-CA"/>
        </w:rPr>
        <w:t xml:space="preserve">, and </w:t>
      </w:r>
      <w:r w:rsidR="00242C55" w:rsidRPr="0065125A">
        <w:rPr>
          <w:rFonts w:cstheme="minorHAnsi"/>
          <w:lang w:val="en-CA"/>
        </w:rPr>
        <w:t>democratic Commonwealth countries</w:t>
      </w:r>
      <w:r w:rsidR="00896E38" w:rsidRPr="0065125A">
        <w:rPr>
          <w:rFonts w:cstheme="minorHAnsi"/>
          <w:lang w:val="en-CA"/>
        </w:rPr>
        <w:t>,</w:t>
      </w:r>
      <w:r w:rsidR="00242C55" w:rsidRPr="0065125A">
        <w:rPr>
          <w:rFonts w:cstheme="minorHAnsi"/>
          <w:lang w:val="en-CA"/>
        </w:rPr>
        <w:t xml:space="preserve"> including Canada</w:t>
      </w:r>
      <w:r w:rsidR="00896E38" w:rsidRPr="0065125A">
        <w:rPr>
          <w:rFonts w:cstheme="minorHAnsi"/>
          <w:lang w:val="en-CA"/>
        </w:rPr>
        <w:t>,</w:t>
      </w:r>
      <w:r w:rsidR="00242C55" w:rsidRPr="0065125A">
        <w:rPr>
          <w:rFonts w:cstheme="minorHAnsi"/>
          <w:lang w:val="en-CA"/>
        </w:rPr>
        <w:t xml:space="preserve"> adopted a wide range of sanctions targeting Russia’s military, economic, and cultural industries. </w:t>
      </w:r>
      <w:r w:rsidR="00F26C72" w:rsidRPr="0065125A">
        <w:rPr>
          <w:rFonts w:cstheme="minorHAnsi"/>
          <w:lang w:val="en-CA"/>
        </w:rPr>
        <w:t>This paper aims</w:t>
      </w:r>
      <w:r w:rsidR="007E275D" w:rsidRPr="0065125A">
        <w:rPr>
          <w:rFonts w:cstheme="minorHAnsi"/>
          <w:lang w:val="en-CA"/>
        </w:rPr>
        <w:t xml:space="preserve"> to better understand the CRTC regime governing </w:t>
      </w:r>
      <w:r w:rsidR="00884780" w:rsidRPr="0065125A">
        <w:rPr>
          <w:rFonts w:cstheme="minorHAnsi"/>
          <w:lang w:val="en-CA"/>
        </w:rPr>
        <w:t xml:space="preserve">the </w:t>
      </w:r>
      <w:r w:rsidR="007E275D" w:rsidRPr="0065125A">
        <w:rPr>
          <w:rFonts w:cstheme="minorHAnsi"/>
          <w:lang w:val="en-CA"/>
        </w:rPr>
        <w:t xml:space="preserve">listing and delisting of non-Canadian programmes for distribution in Canada, the rationale for delisting RT from </w:t>
      </w:r>
      <w:r w:rsidR="007E275D" w:rsidRPr="0065125A">
        <w:rPr>
          <w:rFonts w:cstheme="minorHAnsi"/>
          <w:lang w:val="en-CA"/>
        </w:rPr>
        <w:lastRenderedPageBreak/>
        <w:t xml:space="preserve">distribution in Canada, and </w:t>
      </w:r>
      <w:r w:rsidR="000C37AC" w:rsidRPr="0065125A">
        <w:rPr>
          <w:rFonts w:cstheme="minorHAnsi"/>
          <w:lang w:val="en-CA"/>
        </w:rPr>
        <w:t xml:space="preserve">analyze </w:t>
      </w:r>
      <w:r w:rsidR="007E275D" w:rsidRPr="0065125A">
        <w:rPr>
          <w:rFonts w:cstheme="minorHAnsi"/>
          <w:lang w:val="en-CA"/>
        </w:rPr>
        <w:t>whether this decision would survive challenge</w:t>
      </w:r>
      <w:r w:rsidR="009C21BB" w:rsidRPr="0065125A">
        <w:rPr>
          <w:rFonts w:cstheme="minorHAnsi"/>
          <w:lang w:val="en-CA"/>
        </w:rPr>
        <w:t>s</w:t>
      </w:r>
      <w:r w:rsidR="007E275D" w:rsidRPr="0065125A">
        <w:rPr>
          <w:rFonts w:cstheme="minorHAnsi"/>
          <w:lang w:val="en-CA"/>
        </w:rPr>
        <w:t xml:space="preserve"> at a Federal Court of Appeals </w:t>
      </w:r>
      <w:r w:rsidR="000E6F88" w:rsidRPr="0065125A">
        <w:rPr>
          <w:rFonts w:cstheme="minorHAnsi"/>
          <w:lang w:val="en-CA"/>
        </w:rPr>
        <w:t xml:space="preserve">under the </w:t>
      </w:r>
      <w:r w:rsidR="000A599C" w:rsidRPr="0065125A">
        <w:rPr>
          <w:rFonts w:cstheme="minorHAnsi"/>
          <w:lang w:val="en-CA"/>
        </w:rPr>
        <w:t>administrative law framework</w:t>
      </w:r>
      <w:r w:rsidR="000E6F88" w:rsidRPr="0065125A">
        <w:rPr>
          <w:rFonts w:cstheme="minorHAnsi"/>
          <w:lang w:val="en-CA"/>
        </w:rPr>
        <w:t xml:space="preserve">. </w:t>
      </w:r>
    </w:p>
    <w:p w14:paraId="19EF6B0A" w14:textId="77311206" w:rsidR="006C3BF0" w:rsidRPr="0065125A" w:rsidRDefault="00D903BA" w:rsidP="00292366">
      <w:pPr>
        <w:pStyle w:val="Heading1"/>
        <w:rPr>
          <w:lang w:val="en-CA"/>
        </w:rPr>
      </w:pPr>
      <w:bookmarkStart w:id="1" w:name="_Toc101364437"/>
      <w:r w:rsidRPr="0065125A">
        <w:rPr>
          <w:lang w:val="en-CA"/>
        </w:rPr>
        <w:t>What is RT?</w:t>
      </w:r>
      <w:bookmarkEnd w:id="1"/>
    </w:p>
    <w:p w14:paraId="7F9BA040" w14:textId="2BF49C4C" w:rsidR="003F2908" w:rsidRPr="0065125A" w:rsidRDefault="00E14624" w:rsidP="0041270A">
      <w:pPr>
        <w:spacing w:line="480" w:lineRule="auto"/>
        <w:ind w:firstLine="720"/>
        <w:rPr>
          <w:rFonts w:cstheme="minorHAnsi"/>
          <w:lang w:val="en-CA"/>
        </w:rPr>
      </w:pPr>
      <w:r w:rsidRPr="0065125A">
        <w:rPr>
          <w:rFonts w:cstheme="minorHAnsi"/>
          <w:lang w:val="en-CA"/>
        </w:rPr>
        <w:t>RT is</w:t>
      </w:r>
      <w:r w:rsidR="00C54386" w:rsidRPr="0065125A">
        <w:rPr>
          <w:rFonts w:cstheme="minorHAnsi"/>
          <w:lang w:val="en-CA"/>
        </w:rPr>
        <w:t xml:space="preserve"> the international</w:t>
      </w:r>
      <w:r w:rsidR="0013459C" w:rsidRPr="0065125A">
        <w:rPr>
          <w:rFonts w:cstheme="minorHAnsi"/>
          <w:lang w:val="en-CA"/>
        </w:rPr>
        <w:t xml:space="preserve"> facing state media operated and funded by the Russian Government. </w:t>
      </w:r>
      <w:r w:rsidR="00EF5BB0" w:rsidRPr="0065125A">
        <w:rPr>
          <w:rFonts w:cstheme="minorHAnsi"/>
          <w:lang w:val="en-CA"/>
        </w:rPr>
        <w:t xml:space="preserve">It was launched in 2005 </w:t>
      </w:r>
      <w:r w:rsidR="00F855DD" w:rsidRPr="0065125A">
        <w:rPr>
          <w:rFonts w:cstheme="minorHAnsi"/>
          <w:lang w:val="en-CA"/>
        </w:rPr>
        <w:t>to</w:t>
      </w:r>
      <w:r w:rsidR="00EF5BB0" w:rsidRPr="0065125A">
        <w:rPr>
          <w:rFonts w:cstheme="minorHAnsi"/>
          <w:lang w:val="en-CA"/>
        </w:rPr>
        <w:t xml:space="preserve"> ameliorate </w:t>
      </w:r>
      <w:r w:rsidR="001B7E55" w:rsidRPr="0065125A">
        <w:rPr>
          <w:rFonts w:cstheme="minorHAnsi"/>
          <w:lang w:val="en-CA"/>
        </w:rPr>
        <w:t>Russia’s</w:t>
      </w:r>
      <w:r w:rsidR="00F855DD" w:rsidRPr="0065125A">
        <w:rPr>
          <w:rFonts w:cstheme="minorHAnsi"/>
          <w:lang w:val="en-CA"/>
        </w:rPr>
        <w:t xml:space="preserve"> public</w:t>
      </w:r>
      <w:r w:rsidR="001B7E55" w:rsidRPr="0065125A">
        <w:rPr>
          <w:rFonts w:cstheme="minorHAnsi"/>
          <w:lang w:val="en-CA"/>
        </w:rPr>
        <w:t xml:space="preserve"> image problem.</w:t>
      </w:r>
      <w:r w:rsidR="001B7E55" w:rsidRPr="0065125A">
        <w:rPr>
          <w:rStyle w:val="FootnoteReference"/>
          <w:rFonts w:cstheme="minorHAnsi"/>
          <w:lang w:val="en-CA"/>
        </w:rPr>
        <w:footnoteReference w:id="1"/>
      </w:r>
      <w:r w:rsidR="001B7E55" w:rsidRPr="0065125A">
        <w:rPr>
          <w:rFonts w:cstheme="minorHAnsi"/>
          <w:lang w:val="en-CA"/>
        </w:rPr>
        <w:t xml:space="preserve"> </w:t>
      </w:r>
      <w:r w:rsidR="00653B30" w:rsidRPr="0065125A">
        <w:rPr>
          <w:rFonts w:cstheme="minorHAnsi"/>
          <w:lang w:val="en-CA"/>
        </w:rPr>
        <w:t>There is nothing heinous or unusual about this goal</w:t>
      </w:r>
      <w:r w:rsidR="00336177" w:rsidRPr="0065125A">
        <w:rPr>
          <w:rFonts w:cstheme="minorHAnsi"/>
          <w:lang w:val="en-CA"/>
        </w:rPr>
        <w:t xml:space="preserve"> in itself. As late as 2003, public perception polls conducted in the US showed </w:t>
      </w:r>
      <w:r w:rsidR="0043416F" w:rsidRPr="0065125A">
        <w:rPr>
          <w:rFonts w:cstheme="minorHAnsi"/>
          <w:lang w:val="en-CA"/>
        </w:rPr>
        <w:t>that Americans</w:t>
      </w:r>
      <w:r w:rsidR="00336177" w:rsidRPr="0065125A">
        <w:rPr>
          <w:rFonts w:cstheme="minorHAnsi"/>
          <w:lang w:val="en-CA"/>
        </w:rPr>
        <w:t xml:space="preserve"> overwhelmingly </w:t>
      </w:r>
      <w:r w:rsidR="00C375BD" w:rsidRPr="0065125A">
        <w:rPr>
          <w:rFonts w:cstheme="minorHAnsi"/>
          <w:lang w:val="en-CA"/>
        </w:rPr>
        <w:t>associated Russia with negative concepts such as communism, the KGB, snow, and the mafia</w:t>
      </w:r>
      <w:r w:rsidR="00CC4C37" w:rsidRPr="0065125A">
        <w:rPr>
          <w:rFonts w:cstheme="minorHAnsi"/>
          <w:lang w:val="en-CA"/>
        </w:rPr>
        <w:t xml:space="preserve">. </w:t>
      </w:r>
      <w:r w:rsidR="00F26C72" w:rsidRPr="0065125A">
        <w:rPr>
          <w:rFonts w:cstheme="minorHAnsi"/>
          <w:lang w:val="en-CA"/>
        </w:rPr>
        <w:t>In the same poll, positive</w:t>
      </w:r>
      <w:r w:rsidR="00CC4C37" w:rsidRPr="0065125A">
        <w:rPr>
          <w:rFonts w:cstheme="minorHAnsi"/>
          <w:lang w:val="en-CA"/>
        </w:rPr>
        <w:t xml:space="preserve"> concepts such as Russian art and culture </w:t>
      </w:r>
      <w:r w:rsidR="00F26C72" w:rsidRPr="0065125A">
        <w:rPr>
          <w:rFonts w:cstheme="minorHAnsi"/>
          <w:lang w:val="en-CA"/>
        </w:rPr>
        <w:t>only appeared in the</w:t>
      </w:r>
      <w:r w:rsidR="00CC4C37" w:rsidRPr="0065125A">
        <w:rPr>
          <w:rFonts w:cstheme="minorHAnsi"/>
          <w:lang w:val="en-CA"/>
        </w:rPr>
        <w:t xml:space="preserve"> 10</w:t>
      </w:r>
      <w:r w:rsidR="00CC4C37" w:rsidRPr="0065125A">
        <w:rPr>
          <w:rFonts w:cstheme="minorHAnsi"/>
          <w:vertAlign w:val="superscript"/>
          <w:lang w:val="en-CA"/>
        </w:rPr>
        <w:t>th</w:t>
      </w:r>
      <w:r w:rsidR="00CC4C37" w:rsidRPr="0065125A">
        <w:rPr>
          <w:rFonts w:cstheme="minorHAnsi"/>
          <w:lang w:val="en-CA"/>
        </w:rPr>
        <w:t xml:space="preserve"> place.</w:t>
      </w:r>
      <w:r w:rsidR="00597E33" w:rsidRPr="0065125A">
        <w:rPr>
          <w:rFonts w:cstheme="minorHAnsi"/>
          <w:lang w:val="en-CA"/>
        </w:rPr>
        <w:t xml:space="preserve"> Russian businesses and brands were unheard of except for the infamous Kalashnikov rifles and Molotov cocktails.</w:t>
      </w:r>
      <w:r w:rsidR="00597E33" w:rsidRPr="0065125A">
        <w:rPr>
          <w:rStyle w:val="FootnoteReference"/>
          <w:rFonts w:cstheme="minorHAnsi"/>
          <w:lang w:val="en-CA"/>
        </w:rPr>
        <w:footnoteReference w:id="2"/>
      </w:r>
      <w:r w:rsidR="00597E33" w:rsidRPr="0065125A">
        <w:rPr>
          <w:rFonts w:cstheme="minorHAnsi"/>
          <w:lang w:val="en-CA"/>
        </w:rPr>
        <w:t xml:space="preserve"> </w:t>
      </w:r>
    </w:p>
    <w:p w14:paraId="71D0A442" w14:textId="01C53E9B" w:rsidR="0041270A" w:rsidRPr="0065125A" w:rsidRDefault="008318FE" w:rsidP="0041270A">
      <w:pPr>
        <w:spacing w:line="480" w:lineRule="auto"/>
        <w:ind w:firstLine="720"/>
        <w:rPr>
          <w:rFonts w:cstheme="minorHAnsi"/>
          <w:lang w:val="en-CA"/>
        </w:rPr>
      </w:pPr>
      <w:r w:rsidRPr="0065125A">
        <w:rPr>
          <w:rFonts w:cstheme="minorHAnsi"/>
          <w:lang w:val="en-CA"/>
        </w:rPr>
        <w:t>RT describes itself as an autonomous, non-profit organization that is publicly financed from the budget of the Russian Federation.</w:t>
      </w:r>
      <w:r w:rsidRPr="0065125A">
        <w:rPr>
          <w:rStyle w:val="FootnoteReference"/>
          <w:rFonts w:cstheme="minorHAnsi"/>
          <w:lang w:val="en-CA"/>
        </w:rPr>
        <w:footnoteReference w:id="3"/>
      </w:r>
      <w:r w:rsidR="004D425D" w:rsidRPr="0065125A">
        <w:rPr>
          <w:rFonts w:cstheme="minorHAnsi"/>
          <w:lang w:val="en-CA"/>
        </w:rPr>
        <w:t xml:space="preserve"> </w:t>
      </w:r>
      <w:r w:rsidR="003F2908" w:rsidRPr="0065125A">
        <w:rPr>
          <w:rFonts w:cstheme="minorHAnsi"/>
          <w:lang w:val="en-CA"/>
        </w:rPr>
        <w:t xml:space="preserve">RT management is acutely aware of the restrictions </w:t>
      </w:r>
      <w:r w:rsidR="007607EA" w:rsidRPr="0065125A">
        <w:rPr>
          <w:rFonts w:cstheme="minorHAnsi"/>
          <w:lang w:val="en-CA"/>
        </w:rPr>
        <w:t>of</w:t>
      </w:r>
      <w:r w:rsidR="003F2908" w:rsidRPr="0065125A">
        <w:rPr>
          <w:rFonts w:cstheme="minorHAnsi"/>
          <w:lang w:val="en-CA"/>
        </w:rPr>
        <w:t xml:space="preserve"> being </w:t>
      </w:r>
      <w:r w:rsidR="00947842" w:rsidRPr="0065125A">
        <w:rPr>
          <w:rFonts w:cstheme="minorHAnsi"/>
          <w:lang w:val="en-CA"/>
        </w:rPr>
        <w:t>funded by t</w:t>
      </w:r>
      <w:r w:rsidR="00C942A3" w:rsidRPr="0065125A">
        <w:rPr>
          <w:rFonts w:cstheme="minorHAnsi"/>
          <w:lang w:val="en-CA"/>
        </w:rPr>
        <w:t>he government. In an interview with the head of image improvement</w:t>
      </w:r>
      <w:r w:rsidR="00A7356F" w:rsidRPr="0065125A">
        <w:rPr>
          <w:rFonts w:cstheme="minorHAnsi"/>
          <w:lang w:val="en-CA"/>
        </w:rPr>
        <w:t>,</w:t>
      </w:r>
      <w:r w:rsidR="00C942A3" w:rsidRPr="0065125A">
        <w:rPr>
          <w:rFonts w:cstheme="minorHAnsi"/>
          <w:lang w:val="en-CA"/>
        </w:rPr>
        <w:t xml:space="preserve"> </w:t>
      </w:r>
      <w:r w:rsidR="00986FBB" w:rsidRPr="0065125A">
        <w:rPr>
          <w:rFonts w:cstheme="minorHAnsi"/>
          <w:lang w:val="en-CA"/>
        </w:rPr>
        <w:t xml:space="preserve">Alexander </w:t>
      </w:r>
      <w:proofErr w:type="spellStart"/>
      <w:r w:rsidR="00986FBB" w:rsidRPr="0065125A">
        <w:rPr>
          <w:rFonts w:cstheme="minorHAnsi"/>
          <w:lang w:val="en-CA"/>
        </w:rPr>
        <w:t>Babinsky</w:t>
      </w:r>
      <w:proofErr w:type="spellEnd"/>
      <w:r w:rsidR="00A7356F" w:rsidRPr="0065125A">
        <w:rPr>
          <w:rFonts w:cstheme="minorHAnsi"/>
          <w:lang w:val="en-CA"/>
        </w:rPr>
        <w:t>,</w:t>
      </w:r>
      <w:r w:rsidR="00986FBB" w:rsidRPr="0065125A">
        <w:rPr>
          <w:rFonts w:cstheme="minorHAnsi"/>
          <w:lang w:val="en-CA"/>
        </w:rPr>
        <w:t xml:space="preserve"> at </w:t>
      </w:r>
      <w:r w:rsidR="00C942A3" w:rsidRPr="0065125A">
        <w:rPr>
          <w:rFonts w:cstheme="minorHAnsi"/>
          <w:lang w:val="en-CA"/>
        </w:rPr>
        <w:t xml:space="preserve">RT’s parent organization, </w:t>
      </w:r>
      <w:proofErr w:type="spellStart"/>
      <w:r w:rsidR="00C942A3" w:rsidRPr="0065125A">
        <w:rPr>
          <w:rFonts w:cstheme="minorHAnsi"/>
          <w:lang w:val="en-CA"/>
        </w:rPr>
        <w:t>Novostis</w:t>
      </w:r>
      <w:proofErr w:type="spellEnd"/>
      <w:r w:rsidR="00986FBB" w:rsidRPr="0065125A">
        <w:rPr>
          <w:rFonts w:cstheme="minorHAnsi"/>
          <w:lang w:val="en-CA"/>
        </w:rPr>
        <w:t xml:space="preserve">, Mr. </w:t>
      </w:r>
      <w:proofErr w:type="spellStart"/>
      <w:r w:rsidR="00986FBB" w:rsidRPr="0065125A">
        <w:rPr>
          <w:rFonts w:cstheme="minorHAnsi"/>
          <w:lang w:val="en-CA"/>
        </w:rPr>
        <w:t>Babinsky</w:t>
      </w:r>
      <w:proofErr w:type="spellEnd"/>
      <w:r w:rsidR="00986FBB" w:rsidRPr="0065125A">
        <w:rPr>
          <w:rFonts w:cstheme="minorHAnsi"/>
          <w:lang w:val="en-CA"/>
        </w:rPr>
        <w:t xml:space="preserve"> explains that RT has to walk a fine line between mindlessly praising how great the government is, which</w:t>
      </w:r>
      <w:r w:rsidR="00AA7581" w:rsidRPr="0065125A">
        <w:rPr>
          <w:rFonts w:cstheme="minorHAnsi"/>
          <w:lang w:val="en-CA"/>
        </w:rPr>
        <w:t xml:space="preserve"> would not be </w:t>
      </w:r>
      <w:r w:rsidR="00932743" w:rsidRPr="0065125A">
        <w:rPr>
          <w:rFonts w:cstheme="minorHAnsi"/>
          <w:lang w:val="en-CA"/>
        </w:rPr>
        <w:t>exciting</w:t>
      </w:r>
      <w:r w:rsidR="00AA7581" w:rsidRPr="0065125A">
        <w:rPr>
          <w:rFonts w:cstheme="minorHAnsi"/>
          <w:lang w:val="en-CA"/>
        </w:rPr>
        <w:t xml:space="preserve"> or credible to the international audience, and airing the government’s dirty affairs publicly.</w:t>
      </w:r>
      <w:r w:rsidR="00AA7581" w:rsidRPr="0065125A">
        <w:rPr>
          <w:rStyle w:val="FootnoteReference"/>
          <w:rFonts w:cstheme="minorHAnsi"/>
          <w:lang w:val="en-CA"/>
        </w:rPr>
        <w:footnoteReference w:id="4"/>
      </w:r>
      <w:r w:rsidR="00D72B69" w:rsidRPr="0065125A">
        <w:rPr>
          <w:rFonts w:cstheme="minorHAnsi"/>
          <w:lang w:val="en-CA"/>
        </w:rPr>
        <w:t xml:space="preserve"> </w:t>
      </w:r>
      <w:r w:rsidR="00932743" w:rsidRPr="0065125A">
        <w:rPr>
          <w:rFonts w:cstheme="minorHAnsi"/>
          <w:lang w:val="en-CA"/>
        </w:rPr>
        <w:t>There</w:t>
      </w:r>
      <w:r w:rsidR="0014768B" w:rsidRPr="0065125A">
        <w:rPr>
          <w:rFonts w:cstheme="minorHAnsi"/>
          <w:lang w:val="en-CA"/>
        </w:rPr>
        <w:t xml:space="preserve"> </w:t>
      </w:r>
      <w:r w:rsidR="00D02395" w:rsidRPr="0065125A">
        <w:rPr>
          <w:rFonts w:cstheme="minorHAnsi"/>
          <w:lang w:val="en-CA"/>
        </w:rPr>
        <w:t xml:space="preserve">is a </w:t>
      </w:r>
      <w:r w:rsidR="0014768B" w:rsidRPr="0065125A">
        <w:rPr>
          <w:rFonts w:cstheme="minorHAnsi"/>
          <w:lang w:val="en-CA"/>
        </w:rPr>
        <w:t xml:space="preserve">big difference regarding </w:t>
      </w:r>
      <w:r w:rsidR="00CB0120" w:rsidRPr="0065125A">
        <w:rPr>
          <w:rFonts w:cstheme="minorHAnsi"/>
          <w:lang w:val="en-CA"/>
        </w:rPr>
        <w:t xml:space="preserve">journalistic independence between what </w:t>
      </w:r>
      <w:r w:rsidR="00932743" w:rsidRPr="0065125A">
        <w:rPr>
          <w:rFonts w:cstheme="minorHAnsi"/>
          <w:lang w:val="en-CA"/>
        </w:rPr>
        <w:t>one</w:t>
      </w:r>
      <w:r w:rsidR="00CB0120" w:rsidRPr="0065125A">
        <w:rPr>
          <w:rFonts w:cstheme="minorHAnsi"/>
          <w:lang w:val="en-CA"/>
        </w:rPr>
        <w:t xml:space="preserve"> would expect </w:t>
      </w:r>
      <w:r w:rsidR="00932743" w:rsidRPr="0065125A">
        <w:rPr>
          <w:rFonts w:cstheme="minorHAnsi"/>
          <w:lang w:val="en-CA"/>
        </w:rPr>
        <w:t>from</w:t>
      </w:r>
      <w:r w:rsidR="00CB0120" w:rsidRPr="0065125A">
        <w:rPr>
          <w:rFonts w:cstheme="minorHAnsi"/>
          <w:lang w:val="en-CA"/>
        </w:rPr>
        <w:t xml:space="preserve"> western </w:t>
      </w:r>
      <w:r w:rsidR="00932743" w:rsidRPr="0065125A">
        <w:rPr>
          <w:rFonts w:cstheme="minorHAnsi"/>
          <w:lang w:val="en-CA"/>
        </w:rPr>
        <w:t>state-owned</w:t>
      </w:r>
      <w:r w:rsidR="00CB0120" w:rsidRPr="0065125A">
        <w:rPr>
          <w:rFonts w:cstheme="minorHAnsi"/>
          <w:lang w:val="en-CA"/>
        </w:rPr>
        <w:t xml:space="preserve"> media</w:t>
      </w:r>
      <w:r w:rsidR="00987E67" w:rsidRPr="0065125A">
        <w:rPr>
          <w:rFonts w:cstheme="minorHAnsi"/>
          <w:lang w:val="en-CA"/>
        </w:rPr>
        <w:t xml:space="preserve"> (</w:t>
      </w:r>
      <w:r w:rsidR="00CB0120" w:rsidRPr="0065125A">
        <w:rPr>
          <w:rFonts w:cstheme="minorHAnsi"/>
          <w:lang w:val="en-CA"/>
        </w:rPr>
        <w:t>such as the CBC</w:t>
      </w:r>
      <w:r w:rsidR="00987E67" w:rsidRPr="0065125A">
        <w:rPr>
          <w:rFonts w:cstheme="minorHAnsi"/>
          <w:lang w:val="en-CA"/>
        </w:rPr>
        <w:t>,</w:t>
      </w:r>
      <w:r w:rsidR="00CB0120" w:rsidRPr="0065125A">
        <w:rPr>
          <w:rFonts w:cstheme="minorHAnsi"/>
          <w:lang w:val="en-CA"/>
        </w:rPr>
        <w:t xml:space="preserve"> the BBC</w:t>
      </w:r>
      <w:r w:rsidR="00987E67" w:rsidRPr="0065125A">
        <w:rPr>
          <w:rFonts w:cstheme="minorHAnsi"/>
          <w:lang w:val="en-CA"/>
        </w:rPr>
        <w:t xml:space="preserve">, Deutsche </w:t>
      </w:r>
      <w:proofErr w:type="spellStart"/>
      <w:r w:rsidR="00987E67" w:rsidRPr="0065125A">
        <w:rPr>
          <w:rFonts w:cstheme="minorHAnsi"/>
          <w:lang w:val="en-CA"/>
        </w:rPr>
        <w:t>Well</w:t>
      </w:r>
      <w:r w:rsidR="006527D2" w:rsidRPr="0065125A">
        <w:rPr>
          <w:rFonts w:cstheme="minorHAnsi"/>
          <w:lang w:val="en-CA"/>
        </w:rPr>
        <w:t>e</w:t>
      </w:r>
      <w:proofErr w:type="spellEnd"/>
      <w:r w:rsidR="006527D2" w:rsidRPr="0065125A">
        <w:rPr>
          <w:rFonts w:cstheme="minorHAnsi"/>
          <w:lang w:val="en-CA"/>
        </w:rPr>
        <w:t xml:space="preserve"> (DW)</w:t>
      </w:r>
      <w:r w:rsidR="00987E67" w:rsidRPr="0065125A">
        <w:rPr>
          <w:rFonts w:cstheme="minorHAnsi"/>
          <w:lang w:val="en-CA"/>
        </w:rPr>
        <w:t xml:space="preserve">, etc.) and RT. In the </w:t>
      </w:r>
      <w:r w:rsidR="00CB0DB7" w:rsidRPr="0065125A">
        <w:rPr>
          <w:rFonts w:cstheme="minorHAnsi"/>
          <w:lang w:val="en-CA"/>
        </w:rPr>
        <w:t>W</w:t>
      </w:r>
      <w:r w:rsidR="00987E67" w:rsidRPr="0065125A">
        <w:rPr>
          <w:rFonts w:cstheme="minorHAnsi"/>
          <w:lang w:val="en-CA"/>
        </w:rPr>
        <w:t>est</w:t>
      </w:r>
      <w:r w:rsidR="004D5DD7" w:rsidRPr="0065125A">
        <w:rPr>
          <w:rFonts w:cstheme="minorHAnsi"/>
          <w:lang w:val="en-CA"/>
        </w:rPr>
        <w:t>,</w:t>
      </w:r>
      <w:r w:rsidR="0014768B" w:rsidRPr="0065125A">
        <w:rPr>
          <w:rFonts w:cstheme="minorHAnsi"/>
          <w:lang w:val="en-CA"/>
        </w:rPr>
        <w:t xml:space="preserve"> </w:t>
      </w:r>
      <w:r w:rsidR="00987E67" w:rsidRPr="0065125A">
        <w:rPr>
          <w:rFonts w:cstheme="minorHAnsi"/>
          <w:lang w:val="en-CA"/>
        </w:rPr>
        <w:t>we</w:t>
      </w:r>
      <w:r w:rsidR="00CB0DB7" w:rsidRPr="0065125A">
        <w:rPr>
          <w:rFonts w:cstheme="minorHAnsi"/>
          <w:lang w:val="en-CA"/>
        </w:rPr>
        <w:t xml:space="preserve"> rely upon state media to cover both sides of a story and help us keep the government responsible</w:t>
      </w:r>
      <w:r w:rsidR="004D5DD7" w:rsidRPr="0065125A">
        <w:rPr>
          <w:rFonts w:cstheme="minorHAnsi"/>
          <w:lang w:val="en-CA"/>
        </w:rPr>
        <w:t xml:space="preserve">. </w:t>
      </w:r>
      <w:r w:rsidR="00CE43BB" w:rsidRPr="0065125A">
        <w:rPr>
          <w:rFonts w:cstheme="minorHAnsi"/>
          <w:lang w:val="en-CA"/>
        </w:rPr>
        <w:t>The western</w:t>
      </w:r>
      <w:r w:rsidR="004D5DD7" w:rsidRPr="0065125A">
        <w:rPr>
          <w:rFonts w:cstheme="minorHAnsi"/>
          <w:lang w:val="en-CA"/>
        </w:rPr>
        <w:t xml:space="preserve"> state-owned </w:t>
      </w:r>
      <w:r w:rsidR="00CE43BB" w:rsidRPr="0065125A">
        <w:rPr>
          <w:rFonts w:cstheme="minorHAnsi"/>
          <w:lang w:val="en-CA"/>
        </w:rPr>
        <w:t>press</w:t>
      </w:r>
      <w:r w:rsidR="004D5DD7" w:rsidRPr="0065125A">
        <w:rPr>
          <w:rFonts w:cstheme="minorHAnsi"/>
          <w:lang w:val="en-CA"/>
        </w:rPr>
        <w:t xml:space="preserve"> </w:t>
      </w:r>
      <w:r w:rsidR="004D5DD7" w:rsidRPr="0065125A">
        <w:rPr>
          <w:rFonts w:cstheme="minorHAnsi"/>
          <w:lang w:val="en-CA"/>
        </w:rPr>
        <w:lastRenderedPageBreak/>
        <w:t xml:space="preserve">usually has a transparent </w:t>
      </w:r>
      <w:r w:rsidR="00CE43BB" w:rsidRPr="0065125A">
        <w:rPr>
          <w:rFonts w:cstheme="minorHAnsi"/>
          <w:lang w:val="en-CA"/>
        </w:rPr>
        <w:t>governance structure and editorial board</w:t>
      </w:r>
      <w:r w:rsidR="00CB0DB7" w:rsidRPr="0065125A">
        <w:rPr>
          <w:rFonts w:cstheme="minorHAnsi"/>
          <w:lang w:val="en-CA"/>
        </w:rPr>
        <w:t>.</w:t>
      </w:r>
      <w:r w:rsidR="00CB0DB7" w:rsidRPr="0065125A">
        <w:rPr>
          <w:rStyle w:val="FootnoteReference"/>
          <w:rFonts w:cstheme="minorHAnsi"/>
          <w:lang w:val="en-CA"/>
        </w:rPr>
        <w:footnoteReference w:id="5"/>
      </w:r>
      <w:r w:rsidR="00CB0DB7" w:rsidRPr="0065125A">
        <w:rPr>
          <w:rFonts w:cstheme="minorHAnsi"/>
          <w:lang w:val="en-CA"/>
        </w:rPr>
        <w:t xml:space="preserve"> </w:t>
      </w:r>
      <w:r w:rsidR="008A2AA1" w:rsidRPr="0065125A">
        <w:rPr>
          <w:rFonts w:cstheme="minorHAnsi"/>
          <w:lang w:val="en-CA"/>
        </w:rPr>
        <w:t>While we can expect neutral stories from RT, it wouldn’t be the first platform to air a story about Putin’s corrupt riches.</w:t>
      </w:r>
      <w:r w:rsidR="00FE1A75" w:rsidRPr="0065125A">
        <w:rPr>
          <w:rFonts w:cstheme="minorHAnsi"/>
          <w:lang w:val="en-CA"/>
        </w:rPr>
        <w:t xml:space="preserve"> </w:t>
      </w:r>
    </w:p>
    <w:p w14:paraId="4AA0773A" w14:textId="22E9058E" w:rsidR="00B455B7" w:rsidRPr="0065125A" w:rsidRDefault="00B455B7" w:rsidP="00292366">
      <w:pPr>
        <w:pStyle w:val="Heading2"/>
        <w:rPr>
          <w:lang w:val="en-CA"/>
        </w:rPr>
      </w:pPr>
      <w:bookmarkStart w:id="2" w:name="_Toc101364438"/>
      <w:r w:rsidRPr="0065125A">
        <w:rPr>
          <w:lang w:val="en-CA"/>
        </w:rPr>
        <w:t xml:space="preserve">The argument for </w:t>
      </w:r>
      <w:r w:rsidR="00C34FC6" w:rsidRPr="0065125A">
        <w:rPr>
          <w:lang w:val="en-CA"/>
        </w:rPr>
        <w:t xml:space="preserve">permitting </w:t>
      </w:r>
      <w:r w:rsidRPr="0065125A">
        <w:rPr>
          <w:lang w:val="en-CA"/>
        </w:rPr>
        <w:t>RT</w:t>
      </w:r>
      <w:bookmarkEnd w:id="2"/>
    </w:p>
    <w:p w14:paraId="0DE11747" w14:textId="15DB2D2D" w:rsidR="009F1A8A" w:rsidRPr="0065125A" w:rsidRDefault="005E4BA5" w:rsidP="0041270A">
      <w:pPr>
        <w:spacing w:line="480" w:lineRule="auto"/>
        <w:ind w:firstLine="720"/>
        <w:rPr>
          <w:rFonts w:cstheme="minorHAnsi"/>
          <w:lang w:val="en-CA"/>
        </w:rPr>
      </w:pPr>
      <w:r w:rsidRPr="0065125A">
        <w:rPr>
          <w:rFonts w:cstheme="minorHAnsi"/>
          <w:lang w:val="en-CA"/>
        </w:rPr>
        <w:t>Comparing</w:t>
      </w:r>
      <w:r w:rsidR="008A3F14" w:rsidRPr="0065125A">
        <w:rPr>
          <w:rFonts w:cstheme="minorHAnsi"/>
          <w:lang w:val="en-CA"/>
        </w:rPr>
        <w:t xml:space="preserve"> </w:t>
      </w:r>
      <w:r w:rsidR="00CE43BB" w:rsidRPr="0065125A">
        <w:rPr>
          <w:rFonts w:cstheme="minorHAnsi"/>
          <w:lang w:val="en-CA"/>
        </w:rPr>
        <w:t xml:space="preserve">RT to the </w:t>
      </w:r>
      <w:r w:rsidR="00FE1A75" w:rsidRPr="0065125A">
        <w:rPr>
          <w:rFonts w:cstheme="minorHAnsi"/>
          <w:lang w:val="en-CA"/>
        </w:rPr>
        <w:t>BBC, CBC</w:t>
      </w:r>
      <w:r w:rsidR="00941259" w:rsidRPr="0065125A">
        <w:rPr>
          <w:rFonts w:cstheme="minorHAnsi"/>
          <w:lang w:val="en-CA"/>
        </w:rPr>
        <w:t>,</w:t>
      </w:r>
      <w:r w:rsidR="00FE1A75" w:rsidRPr="0065125A">
        <w:rPr>
          <w:rFonts w:cstheme="minorHAnsi"/>
          <w:lang w:val="en-CA"/>
        </w:rPr>
        <w:t xml:space="preserve"> or </w:t>
      </w:r>
      <w:r w:rsidR="00A05387" w:rsidRPr="0065125A">
        <w:rPr>
          <w:rFonts w:cstheme="minorHAnsi"/>
          <w:lang w:val="en-CA"/>
        </w:rPr>
        <w:t>DW</w:t>
      </w:r>
      <w:r w:rsidR="008A3F14" w:rsidRPr="0065125A">
        <w:rPr>
          <w:rFonts w:cstheme="minorHAnsi"/>
          <w:lang w:val="en-CA"/>
        </w:rPr>
        <w:t xml:space="preserve"> </w:t>
      </w:r>
      <w:r w:rsidRPr="0065125A">
        <w:rPr>
          <w:rFonts w:cstheme="minorHAnsi"/>
          <w:lang w:val="en-CA"/>
        </w:rPr>
        <w:t>might be</w:t>
      </w:r>
      <w:r w:rsidR="008A3F14" w:rsidRPr="0065125A">
        <w:rPr>
          <w:rFonts w:cstheme="minorHAnsi"/>
          <w:lang w:val="en-CA"/>
        </w:rPr>
        <w:t xml:space="preserve"> </w:t>
      </w:r>
      <w:r w:rsidR="00941259" w:rsidRPr="0065125A">
        <w:rPr>
          <w:rFonts w:cstheme="minorHAnsi"/>
          <w:lang w:val="en-CA"/>
        </w:rPr>
        <w:t>misguided</w:t>
      </w:r>
      <w:r w:rsidR="00FE1A75" w:rsidRPr="0065125A">
        <w:rPr>
          <w:rFonts w:cstheme="minorHAnsi"/>
          <w:lang w:val="en-CA"/>
        </w:rPr>
        <w:t xml:space="preserve">. </w:t>
      </w:r>
      <w:r w:rsidR="00FB6ECF" w:rsidRPr="0065125A">
        <w:rPr>
          <w:rFonts w:cstheme="minorHAnsi"/>
          <w:lang w:val="en-CA"/>
        </w:rPr>
        <w:t xml:space="preserve">RT is intended for a foreign audience primarily. </w:t>
      </w:r>
      <w:r w:rsidR="00151CA1" w:rsidRPr="0065125A">
        <w:rPr>
          <w:rFonts w:cstheme="minorHAnsi"/>
          <w:lang w:val="en-CA"/>
        </w:rPr>
        <w:t>RT’s</w:t>
      </w:r>
      <w:r w:rsidR="00FB6ECF" w:rsidRPr="0065125A">
        <w:rPr>
          <w:rFonts w:cstheme="minorHAnsi"/>
          <w:lang w:val="en-CA"/>
        </w:rPr>
        <w:t xml:space="preserve"> programming i</w:t>
      </w:r>
      <w:r w:rsidR="00127A73" w:rsidRPr="0065125A">
        <w:rPr>
          <w:rFonts w:cstheme="minorHAnsi"/>
          <w:lang w:val="en-CA"/>
        </w:rPr>
        <w:t>s entirely in foreign languages and not easily accessible to Russians in their native language. A better comparison would be with</w:t>
      </w:r>
      <w:r w:rsidR="00A05387" w:rsidRPr="0065125A">
        <w:rPr>
          <w:rFonts w:cstheme="minorHAnsi"/>
          <w:lang w:val="en-CA"/>
        </w:rPr>
        <w:t xml:space="preserve"> BBC World,</w:t>
      </w:r>
      <w:r w:rsidR="00127A73" w:rsidRPr="0065125A">
        <w:rPr>
          <w:rFonts w:cstheme="minorHAnsi"/>
          <w:lang w:val="en-CA"/>
        </w:rPr>
        <w:t xml:space="preserve"> DW</w:t>
      </w:r>
      <w:r w:rsidR="00656CCA" w:rsidRPr="0065125A">
        <w:rPr>
          <w:rFonts w:cstheme="minorHAnsi"/>
          <w:lang w:val="en-CA"/>
        </w:rPr>
        <w:t xml:space="preserve"> </w:t>
      </w:r>
      <w:r w:rsidR="0098462B" w:rsidRPr="0065125A">
        <w:rPr>
          <w:rFonts w:cstheme="minorHAnsi"/>
          <w:lang w:val="en-CA"/>
        </w:rPr>
        <w:t>English</w:t>
      </w:r>
      <w:r w:rsidR="00656CCA" w:rsidRPr="0065125A">
        <w:rPr>
          <w:rFonts w:cstheme="minorHAnsi"/>
          <w:lang w:val="en-CA"/>
        </w:rPr>
        <w:t xml:space="preserve">, France 24 English, or NHK 1 International. These channels are </w:t>
      </w:r>
      <w:r w:rsidR="00CB5292" w:rsidRPr="0065125A">
        <w:rPr>
          <w:rFonts w:cstheme="minorHAnsi"/>
          <w:lang w:val="en-CA"/>
        </w:rPr>
        <w:t xml:space="preserve">subsidiaries of their parent </w:t>
      </w:r>
      <w:r w:rsidR="009979FC" w:rsidRPr="0065125A">
        <w:rPr>
          <w:rFonts w:cstheme="minorHAnsi"/>
          <w:lang w:val="en-CA"/>
        </w:rPr>
        <w:t>state-owned broadcasters</w:t>
      </w:r>
      <w:r w:rsidR="00172079" w:rsidRPr="0065125A">
        <w:rPr>
          <w:rFonts w:cstheme="minorHAnsi"/>
          <w:lang w:val="en-CA"/>
        </w:rPr>
        <w:t>,</w:t>
      </w:r>
      <w:r w:rsidR="009979FC" w:rsidRPr="0065125A">
        <w:rPr>
          <w:rFonts w:cstheme="minorHAnsi"/>
          <w:lang w:val="en-CA"/>
        </w:rPr>
        <w:t xml:space="preserve"> and their </w:t>
      </w:r>
      <w:r w:rsidR="00A05387" w:rsidRPr="0065125A">
        <w:rPr>
          <w:rFonts w:cstheme="minorHAnsi"/>
          <w:lang w:val="en-CA"/>
        </w:rPr>
        <w:t>primar</w:t>
      </w:r>
      <w:r w:rsidR="009979FC" w:rsidRPr="0065125A">
        <w:rPr>
          <w:rFonts w:cstheme="minorHAnsi"/>
          <w:lang w:val="en-CA"/>
        </w:rPr>
        <w:t>y</w:t>
      </w:r>
      <w:r w:rsidR="00A05387" w:rsidRPr="0065125A">
        <w:rPr>
          <w:rFonts w:cstheme="minorHAnsi"/>
          <w:lang w:val="en-CA"/>
        </w:rPr>
        <w:t xml:space="preserve"> </w:t>
      </w:r>
      <w:r w:rsidR="009979FC" w:rsidRPr="0065125A">
        <w:rPr>
          <w:rFonts w:cstheme="minorHAnsi"/>
          <w:lang w:val="en-CA"/>
        </w:rPr>
        <w:t>purpose</w:t>
      </w:r>
      <w:r w:rsidR="00A05387" w:rsidRPr="0065125A">
        <w:rPr>
          <w:rFonts w:cstheme="minorHAnsi"/>
          <w:lang w:val="en-CA"/>
        </w:rPr>
        <w:t xml:space="preserve"> </w:t>
      </w:r>
      <w:r w:rsidR="00172079" w:rsidRPr="0065125A">
        <w:rPr>
          <w:rFonts w:cstheme="minorHAnsi"/>
          <w:lang w:val="en-CA"/>
        </w:rPr>
        <w:t xml:space="preserve">is </w:t>
      </w:r>
      <w:r w:rsidR="00A05387" w:rsidRPr="0065125A">
        <w:rPr>
          <w:rFonts w:cstheme="minorHAnsi"/>
          <w:lang w:val="en-CA"/>
        </w:rPr>
        <w:t xml:space="preserve">foreign public </w:t>
      </w:r>
      <w:r w:rsidR="00172079" w:rsidRPr="0065125A">
        <w:rPr>
          <w:rFonts w:cstheme="minorHAnsi"/>
          <w:lang w:val="en-CA"/>
        </w:rPr>
        <w:t>image management</w:t>
      </w:r>
      <w:r w:rsidR="00A05387" w:rsidRPr="0065125A">
        <w:rPr>
          <w:rFonts w:cstheme="minorHAnsi"/>
          <w:lang w:val="en-CA"/>
        </w:rPr>
        <w:t xml:space="preserve">. </w:t>
      </w:r>
      <w:r w:rsidR="00D02395" w:rsidRPr="0065125A">
        <w:rPr>
          <w:rFonts w:cstheme="minorHAnsi"/>
          <w:lang w:val="en-CA"/>
        </w:rPr>
        <w:t xml:space="preserve"> </w:t>
      </w:r>
      <w:r w:rsidR="00172079" w:rsidRPr="0065125A">
        <w:rPr>
          <w:rFonts w:cstheme="minorHAnsi"/>
          <w:lang w:val="en-CA"/>
        </w:rPr>
        <w:t>T</w:t>
      </w:r>
      <w:r w:rsidR="00254EEE" w:rsidRPr="0065125A">
        <w:rPr>
          <w:rFonts w:cstheme="minorHAnsi"/>
          <w:lang w:val="en-CA"/>
        </w:rPr>
        <w:t xml:space="preserve">hese international </w:t>
      </w:r>
      <w:r w:rsidR="00172079" w:rsidRPr="0065125A">
        <w:rPr>
          <w:rFonts w:cstheme="minorHAnsi"/>
          <w:lang w:val="en-CA"/>
        </w:rPr>
        <w:t>state-owned</w:t>
      </w:r>
      <w:r w:rsidR="00254EEE" w:rsidRPr="0065125A">
        <w:rPr>
          <w:rFonts w:cstheme="minorHAnsi"/>
          <w:lang w:val="en-CA"/>
        </w:rPr>
        <w:t xml:space="preserve"> channels </w:t>
      </w:r>
      <w:r w:rsidR="00D6015C" w:rsidRPr="0065125A">
        <w:rPr>
          <w:rFonts w:cstheme="minorHAnsi"/>
          <w:lang w:val="en-CA"/>
        </w:rPr>
        <w:t xml:space="preserve">promote </w:t>
      </w:r>
      <w:r w:rsidR="00BC040D" w:rsidRPr="0065125A">
        <w:rPr>
          <w:rFonts w:cstheme="minorHAnsi"/>
          <w:lang w:val="en-CA"/>
        </w:rPr>
        <w:t xml:space="preserve">their country's culture and business by producing programs for foreign audiences. </w:t>
      </w:r>
      <w:r w:rsidR="001634EA" w:rsidRPr="0065125A">
        <w:rPr>
          <w:rFonts w:cstheme="minorHAnsi"/>
          <w:lang w:val="en-CA"/>
        </w:rPr>
        <w:t>T</w:t>
      </w:r>
      <w:r w:rsidR="00151CA1" w:rsidRPr="0065125A">
        <w:rPr>
          <w:rFonts w:cstheme="minorHAnsi"/>
          <w:lang w:val="en-CA"/>
        </w:rPr>
        <w:t xml:space="preserve">heir news programming has </w:t>
      </w:r>
      <w:r w:rsidR="003D0DE7" w:rsidRPr="0065125A">
        <w:rPr>
          <w:rFonts w:cstheme="minorHAnsi"/>
          <w:lang w:val="en-CA"/>
        </w:rPr>
        <w:t>minimal</w:t>
      </w:r>
      <w:r w:rsidR="00151CA1" w:rsidRPr="0065125A">
        <w:rPr>
          <w:rFonts w:cstheme="minorHAnsi"/>
          <w:lang w:val="en-CA"/>
        </w:rPr>
        <w:t xml:space="preserve"> news value. </w:t>
      </w:r>
      <w:r w:rsidR="003D0DE7" w:rsidRPr="0065125A">
        <w:rPr>
          <w:rFonts w:cstheme="minorHAnsi"/>
          <w:lang w:val="en-CA"/>
        </w:rPr>
        <w:t>For the same reasons, i</w:t>
      </w:r>
      <w:r w:rsidR="00473707" w:rsidRPr="0065125A">
        <w:rPr>
          <w:rFonts w:cstheme="minorHAnsi"/>
          <w:lang w:val="en-CA"/>
        </w:rPr>
        <w:t xml:space="preserve">t is a misplaced expectation to </w:t>
      </w:r>
      <w:r w:rsidR="008B3747" w:rsidRPr="0065125A">
        <w:rPr>
          <w:rFonts w:cstheme="minorHAnsi"/>
          <w:lang w:val="en-CA"/>
        </w:rPr>
        <w:t>look for critical</w:t>
      </w:r>
      <w:r w:rsidR="008311B4" w:rsidRPr="0065125A">
        <w:rPr>
          <w:rFonts w:cstheme="minorHAnsi"/>
          <w:lang w:val="en-CA"/>
        </w:rPr>
        <w:t xml:space="preserve">, </w:t>
      </w:r>
      <w:r w:rsidR="003D0DE7" w:rsidRPr="0065125A">
        <w:rPr>
          <w:rFonts w:cstheme="minorHAnsi"/>
          <w:lang w:val="en-CA"/>
        </w:rPr>
        <w:t>hard-cutting</w:t>
      </w:r>
      <w:r w:rsidR="008311B4" w:rsidRPr="0065125A">
        <w:rPr>
          <w:rFonts w:cstheme="minorHAnsi"/>
          <w:lang w:val="en-CA"/>
        </w:rPr>
        <w:t xml:space="preserve"> journalism at RT</w:t>
      </w:r>
      <w:r w:rsidR="00B632E1" w:rsidRPr="0065125A">
        <w:rPr>
          <w:rFonts w:cstheme="minorHAnsi"/>
          <w:lang w:val="en-CA"/>
        </w:rPr>
        <w:t xml:space="preserve"> </w:t>
      </w:r>
      <w:r w:rsidR="003D0DE7" w:rsidRPr="0065125A">
        <w:rPr>
          <w:rFonts w:cstheme="minorHAnsi"/>
          <w:lang w:val="en-CA"/>
        </w:rPr>
        <w:t xml:space="preserve">regarding the political affairs of the </w:t>
      </w:r>
      <w:r w:rsidR="001A1FBA" w:rsidRPr="0065125A">
        <w:rPr>
          <w:rFonts w:cstheme="minorHAnsi"/>
          <w:lang w:val="en-CA"/>
        </w:rPr>
        <w:t>Russian government</w:t>
      </w:r>
      <w:r w:rsidR="008311B4" w:rsidRPr="0065125A">
        <w:rPr>
          <w:rFonts w:cstheme="minorHAnsi"/>
          <w:lang w:val="en-CA"/>
        </w:rPr>
        <w:t>.</w:t>
      </w:r>
      <w:r w:rsidR="001A1FBA" w:rsidRPr="0065125A">
        <w:rPr>
          <w:rFonts w:cstheme="minorHAnsi"/>
          <w:lang w:val="en-CA"/>
        </w:rPr>
        <w:t xml:space="preserve"> Its </w:t>
      </w:r>
      <w:r w:rsidR="00983C2F" w:rsidRPr="0065125A">
        <w:rPr>
          <w:rFonts w:cstheme="minorHAnsi"/>
          <w:lang w:val="en-CA"/>
        </w:rPr>
        <w:t>primary</w:t>
      </w:r>
      <w:r w:rsidR="001A1FBA" w:rsidRPr="0065125A">
        <w:rPr>
          <w:rFonts w:cstheme="minorHAnsi"/>
          <w:lang w:val="en-CA"/>
        </w:rPr>
        <w:t xml:space="preserve"> purpose is to provide a slice of life perspective into </w:t>
      </w:r>
      <w:r w:rsidR="00983C2F" w:rsidRPr="0065125A">
        <w:rPr>
          <w:rFonts w:cstheme="minorHAnsi"/>
          <w:lang w:val="en-CA"/>
        </w:rPr>
        <w:t>Russians’ daily experiences and promote</w:t>
      </w:r>
      <w:r w:rsidR="001A1FBA" w:rsidRPr="0065125A">
        <w:rPr>
          <w:rFonts w:cstheme="minorHAnsi"/>
          <w:lang w:val="en-CA"/>
        </w:rPr>
        <w:t xml:space="preserve"> their business and culture</w:t>
      </w:r>
      <w:r w:rsidR="002776B7" w:rsidRPr="0065125A">
        <w:rPr>
          <w:rFonts w:cstheme="minorHAnsi"/>
          <w:lang w:val="en-CA"/>
        </w:rPr>
        <w:t xml:space="preserve"> </w:t>
      </w:r>
      <w:r w:rsidR="00983C2F" w:rsidRPr="0065125A">
        <w:rPr>
          <w:rFonts w:cstheme="minorHAnsi"/>
          <w:lang w:val="en-CA"/>
        </w:rPr>
        <w:t>to bring</w:t>
      </w:r>
      <w:r w:rsidR="002776B7" w:rsidRPr="0065125A">
        <w:rPr>
          <w:rFonts w:cstheme="minorHAnsi"/>
          <w:lang w:val="en-CA"/>
        </w:rPr>
        <w:t xml:space="preserve"> in business and tourists.</w:t>
      </w:r>
    </w:p>
    <w:p w14:paraId="050321FD" w14:textId="2184455D" w:rsidR="00833EE0" w:rsidRPr="0065125A" w:rsidRDefault="00AF2A74" w:rsidP="0041270A">
      <w:pPr>
        <w:spacing w:line="480" w:lineRule="auto"/>
        <w:ind w:firstLine="720"/>
        <w:rPr>
          <w:rFonts w:cstheme="minorHAnsi"/>
          <w:lang w:val="en-CA"/>
        </w:rPr>
      </w:pPr>
      <w:r w:rsidRPr="0065125A">
        <w:rPr>
          <w:rFonts w:cstheme="minorHAnsi"/>
          <w:lang w:val="en-CA"/>
        </w:rPr>
        <w:t>Furthermore,</w:t>
      </w:r>
      <w:r w:rsidR="00B64F7E" w:rsidRPr="0065125A">
        <w:rPr>
          <w:rFonts w:cstheme="minorHAnsi"/>
          <w:lang w:val="en-CA"/>
        </w:rPr>
        <w:t xml:space="preserve"> </w:t>
      </w:r>
      <w:r w:rsidR="00A57603" w:rsidRPr="0065125A">
        <w:rPr>
          <w:rFonts w:cstheme="minorHAnsi"/>
          <w:lang w:val="en-CA"/>
        </w:rPr>
        <w:t xml:space="preserve">RT covers stories from the bloc of former </w:t>
      </w:r>
      <w:r w:rsidR="001D3E71" w:rsidRPr="0065125A">
        <w:rPr>
          <w:rFonts w:cstheme="minorHAnsi"/>
          <w:lang w:val="en-CA"/>
        </w:rPr>
        <w:t xml:space="preserve">soviet republics countries that </w:t>
      </w:r>
      <w:r w:rsidR="005E4BA5" w:rsidRPr="0065125A">
        <w:rPr>
          <w:rFonts w:cstheme="minorHAnsi"/>
          <w:lang w:val="en-CA"/>
        </w:rPr>
        <w:t xml:space="preserve">the </w:t>
      </w:r>
      <w:r w:rsidR="001D3E71" w:rsidRPr="0065125A">
        <w:rPr>
          <w:rFonts w:cstheme="minorHAnsi"/>
          <w:lang w:val="en-CA"/>
        </w:rPr>
        <w:t xml:space="preserve">Western </w:t>
      </w:r>
      <w:r w:rsidR="0076060A" w:rsidRPr="0065125A">
        <w:rPr>
          <w:rFonts w:cstheme="minorHAnsi"/>
          <w:lang w:val="en-CA"/>
        </w:rPr>
        <w:t xml:space="preserve">press </w:t>
      </w:r>
      <w:r w:rsidR="00AD1682" w:rsidRPr="0065125A">
        <w:rPr>
          <w:rFonts w:cstheme="minorHAnsi"/>
          <w:lang w:val="en-CA"/>
        </w:rPr>
        <w:t>doesn’t</w:t>
      </w:r>
      <w:r w:rsidR="001D3E71" w:rsidRPr="0065125A">
        <w:rPr>
          <w:rFonts w:cstheme="minorHAnsi"/>
          <w:lang w:val="en-CA"/>
        </w:rPr>
        <w:t xml:space="preserve"> </w:t>
      </w:r>
      <w:r w:rsidR="00902452" w:rsidRPr="0065125A">
        <w:rPr>
          <w:rFonts w:cstheme="minorHAnsi"/>
          <w:lang w:val="en-CA"/>
        </w:rPr>
        <w:t>customarily cover.</w:t>
      </w:r>
      <w:r w:rsidR="002B7C13" w:rsidRPr="0065125A">
        <w:rPr>
          <w:rFonts w:cstheme="minorHAnsi"/>
          <w:lang w:val="en-CA"/>
        </w:rPr>
        <w:t xml:space="preserve"> It covers </w:t>
      </w:r>
      <w:r w:rsidR="001B13B5" w:rsidRPr="0065125A">
        <w:rPr>
          <w:rFonts w:cstheme="minorHAnsi"/>
          <w:lang w:val="en-CA"/>
        </w:rPr>
        <w:t xml:space="preserve">news stories generally from Russia and other former </w:t>
      </w:r>
      <w:r w:rsidR="005E4BA5" w:rsidRPr="0065125A">
        <w:rPr>
          <w:rFonts w:cstheme="minorHAnsi"/>
          <w:lang w:val="en-CA"/>
        </w:rPr>
        <w:t>Soviet</w:t>
      </w:r>
      <w:r w:rsidR="001B13B5" w:rsidRPr="0065125A">
        <w:rPr>
          <w:rFonts w:cstheme="minorHAnsi"/>
          <w:lang w:val="en-CA"/>
        </w:rPr>
        <w:t xml:space="preserve"> republics</w:t>
      </w:r>
      <w:r w:rsidR="00AD1682" w:rsidRPr="0065125A">
        <w:rPr>
          <w:rFonts w:cstheme="minorHAnsi"/>
          <w:lang w:val="en-CA"/>
        </w:rPr>
        <w:t>,</w:t>
      </w:r>
      <w:r w:rsidR="001B13B5" w:rsidRPr="0065125A">
        <w:rPr>
          <w:rFonts w:cstheme="minorHAnsi"/>
          <w:lang w:val="en-CA"/>
        </w:rPr>
        <w:t xml:space="preserve"> and China</w:t>
      </w:r>
      <w:r w:rsidR="008E7E58" w:rsidRPr="0065125A">
        <w:rPr>
          <w:rFonts w:cstheme="minorHAnsi"/>
          <w:lang w:val="en-CA"/>
        </w:rPr>
        <w:t xml:space="preserve">. It also </w:t>
      </w:r>
      <w:r w:rsidR="00775DFF" w:rsidRPr="0065125A">
        <w:rPr>
          <w:rFonts w:cstheme="minorHAnsi"/>
          <w:lang w:val="en-CA"/>
        </w:rPr>
        <w:t>has specific</w:t>
      </w:r>
      <w:r w:rsidR="00E017E0" w:rsidRPr="0065125A">
        <w:rPr>
          <w:rFonts w:cstheme="minorHAnsi"/>
          <w:lang w:val="en-CA"/>
        </w:rPr>
        <w:t xml:space="preserve"> programming for </w:t>
      </w:r>
      <w:r w:rsidR="008E7E58" w:rsidRPr="0065125A">
        <w:rPr>
          <w:rFonts w:cstheme="minorHAnsi"/>
          <w:lang w:val="en-CA"/>
        </w:rPr>
        <w:t xml:space="preserve">Russian </w:t>
      </w:r>
      <w:r w:rsidR="00E017E0" w:rsidRPr="0065125A">
        <w:rPr>
          <w:rFonts w:cstheme="minorHAnsi"/>
          <w:lang w:val="en-CA"/>
        </w:rPr>
        <w:t xml:space="preserve">business and </w:t>
      </w:r>
      <w:r w:rsidR="0035621A" w:rsidRPr="0065125A">
        <w:rPr>
          <w:rFonts w:cstheme="minorHAnsi"/>
          <w:lang w:val="en-CA"/>
        </w:rPr>
        <w:t xml:space="preserve">sports. It </w:t>
      </w:r>
      <w:r w:rsidR="00D93C29" w:rsidRPr="0065125A">
        <w:rPr>
          <w:rFonts w:cstheme="minorHAnsi"/>
          <w:lang w:val="en-CA"/>
        </w:rPr>
        <w:t>produces programming in English, Arabic, Spanish</w:t>
      </w:r>
      <w:r w:rsidR="007629B4" w:rsidRPr="0065125A">
        <w:rPr>
          <w:rFonts w:cstheme="minorHAnsi"/>
          <w:lang w:val="en-CA"/>
        </w:rPr>
        <w:t>, and German. It</w:t>
      </w:r>
      <w:r w:rsidR="00C96A62" w:rsidRPr="0065125A">
        <w:rPr>
          <w:rFonts w:cstheme="minorHAnsi"/>
          <w:lang w:val="en-CA"/>
        </w:rPr>
        <w:t xml:space="preserve"> covers Russian perspectives on major global events</w:t>
      </w:r>
      <w:r w:rsidR="00503449" w:rsidRPr="0065125A">
        <w:rPr>
          <w:rFonts w:cstheme="minorHAnsi"/>
          <w:lang w:val="en-CA"/>
        </w:rPr>
        <w:t xml:space="preserve"> and </w:t>
      </w:r>
      <w:r w:rsidR="00C96A62" w:rsidRPr="0065125A">
        <w:rPr>
          <w:rFonts w:cstheme="minorHAnsi"/>
          <w:lang w:val="en-CA"/>
        </w:rPr>
        <w:t>often gives a</w:t>
      </w:r>
      <w:r w:rsidR="009C4B96" w:rsidRPr="0065125A">
        <w:rPr>
          <w:rFonts w:cstheme="minorHAnsi"/>
          <w:lang w:val="en-CA"/>
        </w:rPr>
        <w:t xml:space="preserve"> voice to </w:t>
      </w:r>
      <w:r w:rsidR="00C55290" w:rsidRPr="0065125A">
        <w:rPr>
          <w:rFonts w:cstheme="minorHAnsi"/>
          <w:lang w:val="en-CA"/>
        </w:rPr>
        <w:t xml:space="preserve">non-mainstream commentators. </w:t>
      </w:r>
      <w:r w:rsidR="00057745" w:rsidRPr="0065125A">
        <w:rPr>
          <w:rFonts w:cstheme="minorHAnsi"/>
          <w:lang w:val="en-CA"/>
        </w:rPr>
        <w:t xml:space="preserve">For example, RT America hosted Chris Hedges, a left-wing </w:t>
      </w:r>
      <w:r w:rsidR="0073100E" w:rsidRPr="0065125A">
        <w:rPr>
          <w:rFonts w:cstheme="minorHAnsi"/>
          <w:lang w:val="en-CA"/>
        </w:rPr>
        <w:t>socio-anarchist commentator</w:t>
      </w:r>
      <w:r w:rsidR="007E0A55" w:rsidRPr="0065125A">
        <w:rPr>
          <w:rFonts w:cstheme="minorHAnsi"/>
          <w:lang w:val="en-CA"/>
        </w:rPr>
        <w:t xml:space="preserve">, William Shatner, </w:t>
      </w:r>
      <w:r w:rsidR="006D2B3A" w:rsidRPr="0065125A">
        <w:rPr>
          <w:rFonts w:cstheme="minorHAnsi"/>
          <w:lang w:val="en-CA"/>
        </w:rPr>
        <w:t>Ross Ashcroft and many more accomplished entertainment</w:t>
      </w:r>
      <w:r w:rsidR="00BC5792" w:rsidRPr="0065125A">
        <w:rPr>
          <w:rFonts w:cstheme="minorHAnsi"/>
          <w:lang w:val="en-CA"/>
        </w:rPr>
        <w:t xml:space="preserve"> figures </w:t>
      </w:r>
      <w:r w:rsidR="00503449" w:rsidRPr="0065125A">
        <w:rPr>
          <w:rFonts w:cstheme="minorHAnsi"/>
          <w:lang w:val="en-CA"/>
        </w:rPr>
        <w:t>and</w:t>
      </w:r>
      <w:r w:rsidR="00BC5792" w:rsidRPr="0065125A">
        <w:rPr>
          <w:rFonts w:cstheme="minorHAnsi"/>
          <w:lang w:val="en-CA"/>
        </w:rPr>
        <w:t xml:space="preserve"> commentators at the beginning of their </w:t>
      </w:r>
      <w:r w:rsidR="00503449" w:rsidRPr="0065125A">
        <w:rPr>
          <w:rFonts w:cstheme="minorHAnsi"/>
          <w:lang w:val="en-CA"/>
        </w:rPr>
        <w:t>careers</w:t>
      </w:r>
      <w:r w:rsidR="00BC5792" w:rsidRPr="0065125A">
        <w:rPr>
          <w:rFonts w:cstheme="minorHAnsi"/>
          <w:lang w:val="en-CA"/>
        </w:rPr>
        <w:t xml:space="preserve">. </w:t>
      </w:r>
      <w:r w:rsidR="00B46EEA" w:rsidRPr="0065125A">
        <w:rPr>
          <w:rFonts w:cstheme="minorHAnsi"/>
          <w:lang w:val="en-CA"/>
        </w:rPr>
        <w:t xml:space="preserve">In 2013, RT won </w:t>
      </w:r>
      <w:r w:rsidR="00221857" w:rsidRPr="0065125A">
        <w:rPr>
          <w:rFonts w:cstheme="minorHAnsi"/>
          <w:lang w:val="en-CA"/>
        </w:rPr>
        <w:t xml:space="preserve">the </w:t>
      </w:r>
      <w:r w:rsidR="00503449" w:rsidRPr="0065125A">
        <w:rPr>
          <w:rFonts w:cstheme="minorHAnsi"/>
          <w:lang w:val="en-CA"/>
        </w:rPr>
        <w:t xml:space="preserve">best 24-hour news coverage award </w:t>
      </w:r>
      <w:r w:rsidR="00221857" w:rsidRPr="0065125A">
        <w:rPr>
          <w:rFonts w:cstheme="minorHAnsi"/>
          <w:lang w:val="en-CA"/>
        </w:rPr>
        <w:t xml:space="preserve">at </w:t>
      </w:r>
      <w:r w:rsidR="007A7FFA" w:rsidRPr="0065125A">
        <w:rPr>
          <w:rFonts w:cstheme="minorHAnsi"/>
          <w:lang w:val="en-CA"/>
        </w:rPr>
        <w:t>Monaco’s Monte Carlo Television Festival</w:t>
      </w:r>
      <w:r w:rsidR="00855C1B" w:rsidRPr="0065125A">
        <w:rPr>
          <w:rFonts w:cstheme="minorHAnsi"/>
          <w:lang w:val="en-CA"/>
        </w:rPr>
        <w:t xml:space="preserve">. It was also a </w:t>
      </w:r>
      <w:r w:rsidR="00FB0F45" w:rsidRPr="0065125A">
        <w:rPr>
          <w:rFonts w:cstheme="minorHAnsi"/>
          <w:lang w:val="en-CA"/>
        </w:rPr>
        <w:lastRenderedPageBreak/>
        <w:t xml:space="preserve">finalist 11 times at the Emmy awards for </w:t>
      </w:r>
      <w:r w:rsidR="001E5DA2" w:rsidRPr="0065125A">
        <w:rPr>
          <w:rFonts w:cstheme="minorHAnsi"/>
          <w:lang w:val="en-CA"/>
        </w:rPr>
        <w:t>n</w:t>
      </w:r>
      <w:r w:rsidR="00FB0F45" w:rsidRPr="0065125A">
        <w:rPr>
          <w:rFonts w:cstheme="minorHAnsi"/>
          <w:lang w:val="en-CA"/>
        </w:rPr>
        <w:t xml:space="preserve">ews </w:t>
      </w:r>
      <w:r w:rsidR="001E5DA2" w:rsidRPr="0065125A">
        <w:rPr>
          <w:rFonts w:cstheme="minorHAnsi"/>
          <w:lang w:val="en-CA"/>
        </w:rPr>
        <w:t>c</w:t>
      </w:r>
      <w:r w:rsidR="00FB0F45" w:rsidRPr="0065125A">
        <w:rPr>
          <w:rFonts w:cstheme="minorHAnsi"/>
          <w:lang w:val="en-CA"/>
        </w:rPr>
        <w:t>overage</w:t>
      </w:r>
      <w:r w:rsidR="00487E9C" w:rsidRPr="0065125A">
        <w:rPr>
          <w:rFonts w:cstheme="minorHAnsi"/>
          <w:lang w:val="en-CA"/>
        </w:rPr>
        <w:t xml:space="preserve">, </w:t>
      </w:r>
      <w:r w:rsidR="001E5DA2" w:rsidRPr="0065125A">
        <w:rPr>
          <w:rFonts w:cstheme="minorHAnsi"/>
          <w:lang w:val="en-CA"/>
        </w:rPr>
        <w:t>d</w:t>
      </w:r>
      <w:r w:rsidR="00487E9C" w:rsidRPr="0065125A">
        <w:rPr>
          <w:rFonts w:cstheme="minorHAnsi"/>
          <w:lang w:val="en-CA"/>
        </w:rPr>
        <w:t>ocument</w:t>
      </w:r>
      <w:r w:rsidR="001E5DA2" w:rsidRPr="0065125A">
        <w:rPr>
          <w:rFonts w:cstheme="minorHAnsi"/>
          <w:lang w:val="en-CA"/>
        </w:rPr>
        <w:t>aries</w:t>
      </w:r>
      <w:r w:rsidR="00487E9C" w:rsidRPr="0065125A">
        <w:rPr>
          <w:rFonts w:cstheme="minorHAnsi"/>
          <w:lang w:val="en-CA"/>
        </w:rPr>
        <w:t xml:space="preserve">, and </w:t>
      </w:r>
      <w:r w:rsidR="001E5DA2" w:rsidRPr="0065125A">
        <w:rPr>
          <w:rFonts w:cstheme="minorHAnsi"/>
          <w:lang w:val="en-CA"/>
        </w:rPr>
        <w:t>t</w:t>
      </w:r>
      <w:r w:rsidR="00487E9C" w:rsidRPr="0065125A">
        <w:rPr>
          <w:rFonts w:cstheme="minorHAnsi"/>
          <w:lang w:val="en-CA"/>
        </w:rPr>
        <w:t xml:space="preserve">alk </w:t>
      </w:r>
      <w:r w:rsidR="001E5DA2" w:rsidRPr="0065125A">
        <w:rPr>
          <w:rFonts w:cstheme="minorHAnsi"/>
          <w:lang w:val="en-CA"/>
        </w:rPr>
        <w:t>s</w:t>
      </w:r>
      <w:r w:rsidR="00487E9C" w:rsidRPr="0065125A">
        <w:rPr>
          <w:rFonts w:cstheme="minorHAnsi"/>
          <w:lang w:val="en-CA"/>
        </w:rPr>
        <w:t xml:space="preserve">hows. </w:t>
      </w:r>
      <w:r w:rsidR="00503449" w:rsidRPr="0065125A">
        <w:rPr>
          <w:rFonts w:cstheme="minorHAnsi"/>
          <w:lang w:val="en-CA"/>
        </w:rPr>
        <w:t>Its</w:t>
      </w:r>
      <w:r w:rsidR="00487E9C" w:rsidRPr="0065125A">
        <w:rPr>
          <w:rFonts w:cstheme="minorHAnsi"/>
          <w:lang w:val="en-CA"/>
        </w:rPr>
        <w:t xml:space="preserve"> </w:t>
      </w:r>
      <w:r w:rsidR="007229E7" w:rsidRPr="0065125A">
        <w:rPr>
          <w:rFonts w:cstheme="minorHAnsi"/>
          <w:lang w:val="en-CA"/>
        </w:rPr>
        <w:t>Emmy nominated news stories</w:t>
      </w:r>
      <w:r w:rsidR="00487E9C" w:rsidRPr="0065125A">
        <w:rPr>
          <w:rFonts w:cstheme="minorHAnsi"/>
          <w:lang w:val="en-CA"/>
        </w:rPr>
        <w:t xml:space="preserve"> have covered topics such as Guanta</w:t>
      </w:r>
      <w:r w:rsidR="00D17332" w:rsidRPr="0065125A">
        <w:rPr>
          <w:rFonts w:cstheme="minorHAnsi"/>
          <w:lang w:val="en-CA"/>
        </w:rPr>
        <w:t>namo Bay Inmates’ hunger strike (2014),</w:t>
      </w:r>
      <w:r w:rsidR="007229E7" w:rsidRPr="0065125A">
        <w:rPr>
          <w:rFonts w:cstheme="minorHAnsi"/>
          <w:lang w:val="en-CA"/>
        </w:rPr>
        <w:t xml:space="preserve"> Occupy Wall </w:t>
      </w:r>
      <w:r w:rsidR="003171A9" w:rsidRPr="0065125A">
        <w:rPr>
          <w:rFonts w:cstheme="minorHAnsi"/>
          <w:lang w:val="en-CA"/>
        </w:rPr>
        <w:t>Street protests (2012), and the Nagorno-Karabakh dispute</w:t>
      </w:r>
      <w:r w:rsidR="00E315B2" w:rsidRPr="0065125A">
        <w:rPr>
          <w:rFonts w:cstheme="minorHAnsi"/>
          <w:lang w:val="en-CA"/>
        </w:rPr>
        <w:t xml:space="preserve"> (2020)</w:t>
      </w:r>
      <w:r w:rsidR="003171A9" w:rsidRPr="0065125A">
        <w:rPr>
          <w:rFonts w:cstheme="minorHAnsi"/>
          <w:lang w:val="en-CA"/>
        </w:rPr>
        <w:t>.</w:t>
      </w:r>
      <w:r w:rsidR="00E315B2" w:rsidRPr="0065125A">
        <w:rPr>
          <w:rFonts w:cstheme="minorHAnsi"/>
          <w:lang w:val="en-CA"/>
        </w:rPr>
        <w:t xml:space="preserve"> RT’s unique location in Russia allow</w:t>
      </w:r>
      <w:r w:rsidR="000F7660" w:rsidRPr="0065125A">
        <w:rPr>
          <w:rFonts w:cstheme="minorHAnsi"/>
          <w:lang w:val="en-CA"/>
        </w:rPr>
        <w:t>ed</w:t>
      </w:r>
      <w:r w:rsidR="00E315B2" w:rsidRPr="0065125A">
        <w:rPr>
          <w:rFonts w:cstheme="minorHAnsi"/>
          <w:lang w:val="en-CA"/>
        </w:rPr>
        <w:t xml:space="preserve"> it to approach </w:t>
      </w:r>
      <w:r w:rsidR="000F7660" w:rsidRPr="0065125A">
        <w:rPr>
          <w:rFonts w:cstheme="minorHAnsi"/>
          <w:lang w:val="en-CA"/>
        </w:rPr>
        <w:t xml:space="preserve">both sides of conflicting parties in Nagorno-Karabakh and </w:t>
      </w:r>
      <w:r w:rsidR="00DF2E1C" w:rsidRPr="0065125A">
        <w:rPr>
          <w:rFonts w:cstheme="minorHAnsi"/>
          <w:lang w:val="en-CA"/>
        </w:rPr>
        <w:t xml:space="preserve">gain the trust of anti-establishment </w:t>
      </w:r>
      <w:r w:rsidR="001B41D9" w:rsidRPr="0065125A">
        <w:rPr>
          <w:rFonts w:cstheme="minorHAnsi"/>
          <w:lang w:val="en-CA"/>
        </w:rPr>
        <w:t xml:space="preserve">activists </w:t>
      </w:r>
      <w:r w:rsidR="00AD1682" w:rsidRPr="0065125A">
        <w:rPr>
          <w:rFonts w:cstheme="minorHAnsi"/>
          <w:lang w:val="en-CA"/>
        </w:rPr>
        <w:t>within</w:t>
      </w:r>
      <w:r w:rsidR="00DF2E1C" w:rsidRPr="0065125A">
        <w:rPr>
          <w:rFonts w:cstheme="minorHAnsi"/>
          <w:lang w:val="en-CA"/>
        </w:rPr>
        <w:t xml:space="preserve"> Occupy Wall Street</w:t>
      </w:r>
      <w:r w:rsidR="001B41D9" w:rsidRPr="0065125A">
        <w:rPr>
          <w:rFonts w:cstheme="minorHAnsi"/>
          <w:lang w:val="en-CA"/>
        </w:rPr>
        <w:t xml:space="preserve"> protests</w:t>
      </w:r>
      <w:r w:rsidR="00DF2E1C" w:rsidRPr="0065125A">
        <w:rPr>
          <w:rFonts w:cstheme="minorHAnsi"/>
          <w:lang w:val="en-CA"/>
        </w:rPr>
        <w:t xml:space="preserve"> and Guantanamo Bay </w:t>
      </w:r>
      <w:r w:rsidR="00AD1682" w:rsidRPr="0065125A">
        <w:rPr>
          <w:rFonts w:cstheme="minorHAnsi"/>
          <w:lang w:val="en-CA"/>
        </w:rPr>
        <w:t>i</w:t>
      </w:r>
      <w:r w:rsidR="00DF2E1C" w:rsidRPr="0065125A">
        <w:rPr>
          <w:rFonts w:cstheme="minorHAnsi"/>
          <w:lang w:val="en-CA"/>
        </w:rPr>
        <w:t>nmates who would be reticent to talk with mainstream Western media.</w:t>
      </w:r>
      <w:r w:rsidR="005A45B7" w:rsidRPr="0065125A">
        <w:rPr>
          <w:rFonts w:cstheme="minorHAnsi"/>
          <w:lang w:val="en-CA"/>
        </w:rPr>
        <w:t xml:space="preserve"> RT </w:t>
      </w:r>
      <w:r w:rsidR="00AD1682" w:rsidRPr="0065125A">
        <w:rPr>
          <w:rFonts w:cstheme="minorHAnsi"/>
          <w:lang w:val="en-CA"/>
        </w:rPr>
        <w:t>News</w:t>
      </w:r>
      <w:r w:rsidR="009D59D5" w:rsidRPr="0065125A">
        <w:rPr>
          <w:rFonts w:cstheme="minorHAnsi"/>
          <w:lang w:val="en-CA"/>
        </w:rPr>
        <w:t xml:space="preserve"> and documentaries have won the following awards: Cannes Lions, the Webby, the Lovies, the Shorty, the Association for International Broadcasting, and the Asia-Pacific Broadcasting Union.</w:t>
      </w:r>
      <w:r w:rsidR="0043416F" w:rsidRPr="0065125A">
        <w:rPr>
          <w:rStyle w:val="FootnoteReference"/>
          <w:rFonts w:cstheme="minorHAnsi"/>
          <w:lang w:val="en-CA"/>
        </w:rPr>
        <w:footnoteReference w:id="6"/>
      </w:r>
    </w:p>
    <w:p w14:paraId="62D4170C" w14:textId="25B49FFB" w:rsidR="00E46B1E" w:rsidRPr="0065125A" w:rsidRDefault="00C56F19" w:rsidP="0033678F">
      <w:pPr>
        <w:pStyle w:val="Heading2"/>
        <w:rPr>
          <w:lang w:val="en-CA"/>
        </w:rPr>
      </w:pPr>
      <w:bookmarkStart w:id="3" w:name="_Toc101364439"/>
      <w:r w:rsidRPr="0065125A">
        <w:rPr>
          <w:lang w:val="en-CA"/>
        </w:rPr>
        <w:t xml:space="preserve">The argument </w:t>
      </w:r>
      <w:r w:rsidR="00C34FC6" w:rsidRPr="0065125A">
        <w:rPr>
          <w:lang w:val="en-CA"/>
        </w:rPr>
        <w:t>for banning</w:t>
      </w:r>
      <w:r w:rsidRPr="0065125A">
        <w:rPr>
          <w:lang w:val="en-CA"/>
        </w:rPr>
        <w:t xml:space="preserve"> RT</w:t>
      </w:r>
      <w:bookmarkEnd w:id="3"/>
    </w:p>
    <w:p w14:paraId="01784C1E" w14:textId="3E64EEEA" w:rsidR="00F147EA" w:rsidRPr="0065125A" w:rsidRDefault="00205E0F" w:rsidP="00C56F19">
      <w:pPr>
        <w:spacing w:line="480" w:lineRule="auto"/>
        <w:rPr>
          <w:rFonts w:cstheme="minorHAnsi"/>
          <w:lang w:val="en-CA"/>
        </w:rPr>
      </w:pPr>
      <w:r w:rsidRPr="0065125A">
        <w:rPr>
          <w:rFonts w:cstheme="minorHAnsi"/>
          <w:lang w:val="en-CA"/>
        </w:rPr>
        <w:tab/>
        <w:t xml:space="preserve">One of the main </w:t>
      </w:r>
      <w:r w:rsidR="003B5B31" w:rsidRPr="0065125A">
        <w:rPr>
          <w:rFonts w:cstheme="minorHAnsi"/>
          <w:lang w:val="en-CA"/>
        </w:rPr>
        <w:t xml:space="preserve">criticisms laid at RT is that it fails to present a balanced perspective </w:t>
      </w:r>
      <w:r w:rsidR="00755A1F" w:rsidRPr="0065125A">
        <w:rPr>
          <w:rFonts w:cstheme="minorHAnsi"/>
          <w:lang w:val="en-CA"/>
        </w:rPr>
        <w:t>on the issues</w:t>
      </w:r>
      <w:r w:rsidR="00180B53" w:rsidRPr="0065125A">
        <w:rPr>
          <w:rFonts w:cstheme="minorHAnsi"/>
          <w:lang w:val="en-CA"/>
        </w:rPr>
        <w:t xml:space="preserve"> it covers</w:t>
      </w:r>
      <w:r w:rsidR="00861CD1" w:rsidRPr="0065125A">
        <w:rPr>
          <w:rFonts w:cstheme="minorHAnsi"/>
          <w:lang w:val="en-CA"/>
        </w:rPr>
        <w:t xml:space="preserve"> and that it produces misinformation</w:t>
      </w:r>
      <w:r w:rsidR="00180B53" w:rsidRPr="0065125A">
        <w:rPr>
          <w:rFonts w:cstheme="minorHAnsi"/>
          <w:lang w:val="en-CA"/>
        </w:rPr>
        <w:t xml:space="preserve">. </w:t>
      </w:r>
      <w:r w:rsidR="00224B5E" w:rsidRPr="0065125A">
        <w:rPr>
          <w:rFonts w:cstheme="minorHAnsi"/>
          <w:lang w:val="en-CA"/>
        </w:rPr>
        <w:t xml:space="preserve">The supervisory board that governs RT is a secret. </w:t>
      </w:r>
      <w:r w:rsidR="00587F75" w:rsidRPr="0065125A">
        <w:rPr>
          <w:rFonts w:cstheme="minorHAnsi"/>
          <w:lang w:val="en-CA"/>
        </w:rPr>
        <w:t xml:space="preserve">However, it is suggested that Kremlin </w:t>
      </w:r>
      <w:r w:rsidR="0008147E" w:rsidRPr="0065125A">
        <w:rPr>
          <w:rFonts w:cstheme="minorHAnsi"/>
          <w:lang w:val="en-CA"/>
        </w:rPr>
        <w:t>significantly influences</w:t>
      </w:r>
      <w:r w:rsidR="00406089" w:rsidRPr="0065125A">
        <w:rPr>
          <w:rFonts w:cstheme="minorHAnsi"/>
          <w:lang w:val="en-CA"/>
        </w:rPr>
        <w:t xml:space="preserve"> what RT airs. </w:t>
      </w:r>
      <w:r w:rsidR="00055A82" w:rsidRPr="0065125A">
        <w:rPr>
          <w:rFonts w:cstheme="minorHAnsi"/>
          <w:lang w:val="en-CA"/>
        </w:rPr>
        <w:t xml:space="preserve">In an interview in 2013, Vladimir Putin commented that </w:t>
      </w:r>
      <w:r w:rsidR="004915F2" w:rsidRPr="0065125A">
        <w:rPr>
          <w:rFonts w:cstheme="minorHAnsi"/>
          <w:lang w:val="en-CA"/>
        </w:rPr>
        <w:t>RT’s programming necessarily reflects the Russian government’s official position on the events it covers.</w:t>
      </w:r>
      <w:r w:rsidR="004915F2" w:rsidRPr="0065125A">
        <w:rPr>
          <w:rStyle w:val="FootnoteReference"/>
          <w:rFonts w:cstheme="minorHAnsi"/>
          <w:lang w:val="en-CA"/>
        </w:rPr>
        <w:footnoteReference w:id="7"/>
      </w:r>
      <w:r w:rsidR="00277C84" w:rsidRPr="0065125A">
        <w:rPr>
          <w:rFonts w:cstheme="minorHAnsi"/>
          <w:lang w:val="en-CA"/>
        </w:rPr>
        <w:t xml:space="preserve"> This </w:t>
      </w:r>
      <w:r w:rsidR="004B2A9E" w:rsidRPr="0065125A">
        <w:rPr>
          <w:rFonts w:cstheme="minorHAnsi"/>
          <w:lang w:val="en-CA"/>
        </w:rPr>
        <w:t xml:space="preserve">has resulted in </w:t>
      </w:r>
      <w:r w:rsidR="001228F0" w:rsidRPr="0065125A">
        <w:rPr>
          <w:rFonts w:cstheme="minorHAnsi"/>
          <w:lang w:val="en-CA"/>
        </w:rPr>
        <w:t>programmes wherein RT made allegations</w:t>
      </w:r>
      <w:r w:rsidR="005A5F0E" w:rsidRPr="0065125A">
        <w:rPr>
          <w:rFonts w:cstheme="minorHAnsi"/>
          <w:lang w:val="en-CA"/>
        </w:rPr>
        <w:t xml:space="preserve"> against parties anachronistic to the Russian government at the time</w:t>
      </w:r>
      <w:r w:rsidR="001228F0" w:rsidRPr="0065125A">
        <w:rPr>
          <w:rFonts w:cstheme="minorHAnsi"/>
          <w:lang w:val="en-CA"/>
        </w:rPr>
        <w:t xml:space="preserve"> without </w:t>
      </w:r>
      <w:r w:rsidR="0073695D" w:rsidRPr="0065125A">
        <w:rPr>
          <w:rFonts w:cstheme="minorHAnsi"/>
          <w:lang w:val="en-CA"/>
        </w:rPr>
        <w:t>allowing the accused parties</w:t>
      </w:r>
      <w:r w:rsidR="001228F0" w:rsidRPr="0065125A">
        <w:rPr>
          <w:rFonts w:cstheme="minorHAnsi"/>
          <w:lang w:val="en-CA"/>
        </w:rPr>
        <w:t xml:space="preserve"> to defend themselves. </w:t>
      </w:r>
      <w:r w:rsidR="00341A6C" w:rsidRPr="0065125A">
        <w:rPr>
          <w:rFonts w:cstheme="minorHAnsi"/>
          <w:lang w:val="en-CA"/>
        </w:rPr>
        <w:t xml:space="preserve">For example, </w:t>
      </w:r>
      <w:r w:rsidR="008E4440" w:rsidRPr="0065125A">
        <w:rPr>
          <w:rFonts w:cstheme="minorHAnsi"/>
          <w:lang w:val="en-CA"/>
        </w:rPr>
        <w:t xml:space="preserve">RT </w:t>
      </w:r>
      <w:r w:rsidR="006B3AD7" w:rsidRPr="0065125A">
        <w:rPr>
          <w:rFonts w:cstheme="minorHAnsi"/>
          <w:lang w:val="en-CA"/>
        </w:rPr>
        <w:t xml:space="preserve">alleged </w:t>
      </w:r>
      <w:r w:rsidR="00E7212B" w:rsidRPr="0065125A">
        <w:rPr>
          <w:rFonts w:cstheme="minorHAnsi"/>
          <w:lang w:val="en-CA"/>
        </w:rPr>
        <w:t xml:space="preserve">in 2014 </w:t>
      </w:r>
      <w:r w:rsidR="006B3AD7" w:rsidRPr="0065125A">
        <w:rPr>
          <w:rFonts w:cstheme="minorHAnsi"/>
          <w:lang w:val="en-CA"/>
        </w:rPr>
        <w:t xml:space="preserve">that </w:t>
      </w:r>
      <w:r w:rsidR="008E4440" w:rsidRPr="0065125A">
        <w:rPr>
          <w:rFonts w:cstheme="minorHAnsi"/>
          <w:lang w:val="en-CA"/>
        </w:rPr>
        <w:t xml:space="preserve">BBC had staged a chemical weapons attack by the Assad regime in Syria and </w:t>
      </w:r>
      <w:r w:rsidR="006B3AD7" w:rsidRPr="0065125A">
        <w:rPr>
          <w:rFonts w:cstheme="minorHAnsi"/>
          <w:lang w:val="en-CA"/>
        </w:rPr>
        <w:t xml:space="preserve">edited an interview with a Syrian doctor to skew what the doctor said. </w:t>
      </w:r>
      <w:r w:rsidR="00E7212B" w:rsidRPr="0065125A">
        <w:rPr>
          <w:rFonts w:cstheme="minorHAnsi"/>
          <w:lang w:val="en-CA"/>
        </w:rPr>
        <w:t xml:space="preserve">The same year, RT also released a programme that alleged Ukraine’s Refugee authority was </w:t>
      </w:r>
      <w:r w:rsidR="006408FC" w:rsidRPr="0065125A">
        <w:rPr>
          <w:rFonts w:cstheme="minorHAnsi"/>
          <w:lang w:val="en-CA"/>
        </w:rPr>
        <w:t xml:space="preserve">killing civilian migrants based on first-hand accounts. RT was sanctioned by </w:t>
      </w:r>
      <w:proofErr w:type="spellStart"/>
      <w:r w:rsidR="006408FC" w:rsidRPr="0065125A">
        <w:rPr>
          <w:rFonts w:cstheme="minorHAnsi"/>
          <w:lang w:val="en-CA"/>
        </w:rPr>
        <w:t>Of</w:t>
      </w:r>
      <w:r w:rsidR="00257EAF" w:rsidRPr="0065125A">
        <w:rPr>
          <w:rFonts w:cstheme="minorHAnsi"/>
          <w:lang w:val="en-CA"/>
        </w:rPr>
        <w:t>com</w:t>
      </w:r>
      <w:proofErr w:type="spellEnd"/>
      <w:r w:rsidR="00257EAF" w:rsidRPr="0065125A">
        <w:rPr>
          <w:rFonts w:cstheme="minorHAnsi"/>
          <w:lang w:val="en-CA"/>
        </w:rPr>
        <w:t xml:space="preserve"> (British Office of Communications) for not </w:t>
      </w:r>
      <w:r w:rsidR="00720E07" w:rsidRPr="0065125A">
        <w:rPr>
          <w:rFonts w:cstheme="minorHAnsi"/>
          <w:lang w:val="en-CA"/>
        </w:rPr>
        <w:t>allowing the BBC or the Ukrainian government</w:t>
      </w:r>
      <w:r w:rsidR="0073695D" w:rsidRPr="0065125A">
        <w:rPr>
          <w:rFonts w:cstheme="minorHAnsi"/>
          <w:lang w:val="en-CA"/>
        </w:rPr>
        <w:t xml:space="preserve"> </w:t>
      </w:r>
      <w:r w:rsidR="00257EAF" w:rsidRPr="0065125A">
        <w:rPr>
          <w:rFonts w:cstheme="minorHAnsi"/>
          <w:lang w:val="en-CA"/>
        </w:rPr>
        <w:t>to respond to the allegations</w:t>
      </w:r>
      <w:r w:rsidR="00502E80" w:rsidRPr="0065125A">
        <w:rPr>
          <w:rFonts w:cstheme="minorHAnsi"/>
          <w:lang w:val="en-CA"/>
        </w:rPr>
        <w:t xml:space="preserve"> in those </w:t>
      </w:r>
      <w:r w:rsidR="00502E80" w:rsidRPr="0065125A">
        <w:rPr>
          <w:rFonts w:cstheme="minorHAnsi"/>
          <w:lang w:val="en-CA"/>
        </w:rPr>
        <w:lastRenderedPageBreak/>
        <w:t>programmes.</w:t>
      </w:r>
      <w:r w:rsidR="00C5730D" w:rsidRPr="0065125A">
        <w:rPr>
          <w:rStyle w:val="FootnoteReference"/>
          <w:rFonts w:cstheme="minorHAnsi"/>
          <w:lang w:val="en-CA"/>
        </w:rPr>
        <w:footnoteReference w:id="8"/>
      </w:r>
      <w:r w:rsidR="00502E80" w:rsidRPr="0065125A">
        <w:rPr>
          <w:rFonts w:cstheme="minorHAnsi"/>
          <w:lang w:val="en-CA"/>
        </w:rPr>
        <w:t xml:space="preserve"> </w:t>
      </w:r>
      <w:r w:rsidR="005A5F0E" w:rsidRPr="0065125A">
        <w:rPr>
          <w:rFonts w:cstheme="minorHAnsi"/>
          <w:lang w:val="en-CA"/>
        </w:rPr>
        <w:t>When Turke</w:t>
      </w:r>
      <w:r w:rsidR="00921A08" w:rsidRPr="0065125A">
        <w:rPr>
          <w:rFonts w:cstheme="minorHAnsi"/>
          <w:lang w:val="en-CA"/>
        </w:rPr>
        <w:t>y shot down a Russian jet in Syria, RT broadcasted interviews with pro-Kurdish activists in Syria that accused</w:t>
      </w:r>
      <w:r w:rsidR="00C5730D" w:rsidRPr="0065125A">
        <w:rPr>
          <w:rFonts w:cstheme="minorHAnsi"/>
          <w:lang w:val="en-CA"/>
        </w:rPr>
        <w:t xml:space="preserve"> the Turkish government of genocide without providing the Turkish government’s stance on the </w:t>
      </w:r>
      <w:r w:rsidR="00720E07" w:rsidRPr="0065125A">
        <w:rPr>
          <w:rFonts w:cstheme="minorHAnsi"/>
          <w:lang w:val="en-CA"/>
        </w:rPr>
        <w:t>matter</w:t>
      </w:r>
      <w:r w:rsidR="00C5730D" w:rsidRPr="0065125A">
        <w:rPr>
          <w:rFonts w:cstheme="minorHAnsi"/>
          <w:lang w:val="en-CA"/>
        </w:rPr>
        <w:t>.</w:t>
      </w:r>
      <w:r w:rsidR="00C5730D" w:rsidRPr="0065125A">
        <w:rPr>
          <w:rStyle w:val="FootnoteReference"/>
          <w:rFonts w:cstheme="minorHAnsi"/>
          <w:lang w:val="en-CA"/>
        </w:rPr>
        <w:footnoteReference w:id="9"/>
      </w:r>
      <w:r w:rsidR="00C5730D" w:rsidRPr="0065125A">
        <w:rPr>
          <w:rFonts w:cstheme="minorHAnsi"/>
          <w:lang w:val="en-CA"/>
        </w:rPr>
        <w:t xml:space="preserve"> </w:t>
      </w:r>
      <w:proofErr w:type="spellStart"/>
      <w:r w:rsidR="00C5730D" w:rsidRPr="0065125A">
        <w:rPr>
          <w:rFonts w:cstheme="minorHAnsi"/>
          <w:lang w:val="en-CA"/>
        </w:rPr>
        <w:t>Ofcom</w:t>
      </w:r>
      <w:proofErr w:type="spellEnd"/>
      <w:r w:rsidR="00C5730D" w:rsidRPr="0065125A">
        <w:rPr>
          <w:rFonts w:cstheme="minorHAnsi"/>
          <w:lang w:val="en-CA"/>
        </w:rPr>
        <w:t xml:space="preserve"> sanctioned RT on this publication as well.</w:t>
      </w:r>
      <w:r w:rsidR="00C73AC0" w:rsidRPr="0065125A">
        <w:rPr>
          <w:rFonts w:cstheme="minorHAnsi"/>
          <w:lang w:val="en-CA"/>
        </w:rPr>
        <w:t xml:space="preserve"> </w:t>
      </w:r>
    </w:p>
    <w:p w14:paraId="02953D3C" w14:textId="4222A50C" w:rsidR="00205E0F" w:rsidRPr="0065125A" w:rsidRDefault="00C73AC0" w:rsidP="00F147EA">
      <w:pPr>
        <w:spacing w:line="480" w:lineRule="auto"/>
        <w:ind w:firstLine="720"/>
        <w:rPr>
          <w:rFonts w:cstheme="minorHAnsi"/>
          <w:lang w:val="en-CA"/>
        </w:rPr>
      </w:pPr>
      <w:r w:rsidRPr="0065125A">
        <w:rPr>
          <w:rFonts w:cstheme="minorHAnsi"/>
          <w:lang w:val="en-CA"/>
        </w:rPr>
        <w:t xml:space="preserve">This kind of unbalanced programming drew the ire of the US government as well. In </w:t>
      </w:r>
      <w:r w:rsidR="007B57C0" w:rsidRPr="0065125A">
        <w:rPr>
          <w:rFonts w:cstheme="minorHAnsi"/>
          <w:lang w:val="en-CA"/>
        </w:rPr>
        <w:t>2017, RT was required to register under the Foreign Agents Registration Act</w:t>
      </w:r>
      <w:r w:rsidR="0007616F" w:rsidRPr="0065125A">
        <w:rPr>
          <w:rFonts w:cstheme="minorHAnsi"/>
          <w:lang w:val="en-CA"/>
        </w:rPr>
        <w:t xml:space="preserve"> (FARA)</w:t>
      </w:r>
      <w:r w:rsidR="007B57C0" w:rsidRPr="0065125A">
        <w:rPr>
          <w:rFonts w:cstheme="minorHAnsi"/>
          <w:lang w:val="en-CA"/>
        </w:rPr>
        <w:t xml:space="preserve"> in the United States </w:t>
      </w:r>
      <w:r w:rsidR="006C51D6" w:rsidRPr="0065125A">
        <w:rPr>
          <w:rFonts w:cstheme="minorHAnsi"/>
          <w:lang w:val="en-CA"/>
        </w:rPr>
        <w:t>for having become a propaganda tool.</w:t>
      </w:r>
      <w:r w:rsidR="006C51D6" w:rsidRPr="0065125A">
        <w:rPr>
          <w:rStyle w:val="FootnoteReference"/>
          <w:rFonts w:cstheme="minorHAnsi"/>
          <w:lang w:val="en-CA"/>
        </w:rPr>
        <w:footnoteReference w:id="10"/>
      </w:r>
      <w:r w:rsidR="006C51D6" w:rsidRPr="0065125A">
        <w:rPr>
          <w:rFonts w:cstheme="minorHAnsi"/>
          <w:lang w:val="en-CA"/>
        </w:rPr>
        <w:t xml:space="preserve"> </w:t>
      </w:r>
      <w:r w:rsidR="00720E07" w:rsidRPr="0065125A">
        <w:rPr>
          <w:rFonts w:cstheme="minorHAnsi"/>
          <w:lang w:val="en-CA"/>
        </w:rPr>
        <w:t xml:space="preserve">The </w:t>
      </w:r>
      <w:r w:rsidR="0007616F" w:rsidRPr="0065125A">
        <w:rPr>
          <w:rFonts w:cstheme="minorHAnsi"/>
          <w:lang w:val="en-CA"/>
        </w:rPr>
        <w:t xml:space="preserve">United States does not ordinarily ban foreign media outright. Instead, it requires registration under FARA to force certain disclosures </w:t>
      </w:r>
      <w:r w:rsidR="00F44F27" w:rsidRPr="0065125A">
        <w:rPr>
          <w:rFonts w:cstheme="minorHAnsi"/>
          <w:lang w:val="en-CA"/>
        </w:rPr>
        <w:t>regarding</w:t>
      </w:r>
      <w:r w:rsidR="0007616F" w:rsidRPr="0065125A">
        <w:rPr>
          <w:rFonts w:cstheme="minorHAnsi"/>
          <w:lang w:val="en-CA"/>
        </w:rPr>
        <w:t xml:space="preserve"> funding</w:t>
      </w:r>
      <w:r w:rsidR="00BC3A91" w:rsidRPr="0065125A">
        <w:rPr>
          <w:rFonts w:cstheme="minorHAnsi"/>
          <w:lang w:val="en-CA"/>
        </w:rPr>
        <w:t>, relationships, and activities</w:t>
      </w:r>
      <w:r w:rsidR="00F147EA" w:rsidRPr="0065125A">
        <w:rPr>
          <w:rFonts w:cstheme="minorHAnsi"/>
          <w:lang w:val="en-CA"/>
        </w:rPr>
        <w:t xml:space="preserve"> when there is sufficient evidence that an individual or organization is a foreign agent</w:t>
      </w:r>
      <w:r w:rsidR="00BC3A91" w:rsidRPr="0065125A">
        <w:rPr>
          <w:rFonts w:cstheme="minorHAnsi"/>
          <w:lang w:val="en-CA"/>
        </w:rPr>
        <w:t xml:space="preserve"> engaged in domestic political or advocacy work</w:t>
      </w:r>
      <w:r w:rsidR="00F147EA" w:rsidRPr="0065125A">
        <w:rPr>
          <w:rFonts w:cstheme="minorHAnsi"/>
          <w:lang w:val="en-CA"/>
        </w:rPr>
        <w:t xml:space="preserve">. </w:t>
      </w:r>
      <w:r w:rsidR="00591569" w:rsidRPr="0065125A">
        <w:rPr>
          <w:rFonts w:cstheme="minorHAnsi"/>
          <w:lang w:val="en-CA"/>
        </w:rPr>
        <w:t xml:space="preserve">The FARA was </w:t>
      </w:r>
      <w:r w:rsidR="00F44F27" w:rsidRPr="0065125A">
        <w:rPr>
          <w:rFonts w:cstheme="minorHAnsi"/>
          <w:lang w:val="en-CA"/>
        </w:rPr>
        <w:t>passed</w:t>
      </w:r>
      <w:r w:rsidR="00591569" w:rsidRPr="0065125A">
        <w:rPr>
          <w:rFonts w:cstheme="minorHAnsi"/>
          <w:lang w:val="en-CA"/>
        </w:rPr>
        <w:t xml:space="preserve"> in 1938 </w:t>
      </w:r>
      <w:r w:rsidR="00B4422D" w:rsidRPr="0065125A">
        <w:rPr>
          <w:rFonts w:cstheme="minorHAnsi"/>
          <w:lang w:val="en-CA"/>
        </w:rPr>
        <w:t xml:space="preserve">to </w:t>
      </w:r>
      <w:r w:rsidR="00946A8F" w:rsidRPr="0065125A">
        <w:rPr>
          <w:rFonts w:cstheme="minorHAnsi"/>
          <w:lang w:val="en-CA"/>
        </w:rPr>
        <w:t>bring transparency to covert Nazi propaganda activities in the US.</w:t>
      </w:r>
    </w:p>
    <w:p w14:paraId="3D869830" w14:textId="0A19B9A3" w:rsidR="00C76A09" w:rsidRPr="0065125A" w:rsidRDefault="00C76A09" w:rsidP="00F147EA">
      <w:pPr>
        <w:spacing w:line="480" w:lineRule="auto"/>
        <w:ind w:firstLine="720"/>
        <w:rPr>
          <w:rFonts w:cstheme="minorHAnsi"/>
          <w:lang w:val="en-CA"/>
        </w:rPr>
      </w:pPr>
      <w:r w:rsidRPr="0065125A">
        <w:rPr>
          <w:rFonts w:cstheme="minorHAnsi"/>
          <w:lang w:val="en-CA"/>
        </w:rPr>
        <w:t xml:space="preserve">The second major criticism against RT is that it gives a platform to extremist ideas that foster </w:t>
      </w:r>
      <w:r w:rsidR="00346D87" w:rsidRPr="0065125A">
        <w:rPr>
          <w:rFonts w:cstheme="minorHAnsi"/>
          <w:lang w:val="en-CA"/>
        </w:rPr>
        <w:t xml:space="preserve">hatred and undermine </w:t>
      </w:r>
      <w:r w:rsidR="008F0CC9" w:rsidRPr="0065125A">
        <w:rPr>
          <w:rFonts w:cstheme="minorHAnsi"/>
          <w:lang w:val="en-CA"/>
        </w:rPr>
        <w:t>democracies.</w:t>
      </w:r>
      <w:r w:rsidR="00BD1924" w:rsidRPr="0065125A">
        <w:rPr>
          <w:rFonts w:cstheme="minorHAnsi"/>
          <w:lang w:val="en-CA"/>
        </w:rPr>
        <w:t xml:space="preserve"> </w:t>
      </w:r>
      <w:r w:rsidR="00F0361A" w:rsidRPr="0065125A">
        <w:rPr>
          <w:rFonts w:cstheme="minorHAnsi"/>
          <w:lang w:val="en-CA"/>
        </w:rPr>
        <w:t xml:space="preserve">RT has </w:t>
      </w:r>
      <w:r w:rsidR="00E40275" w:rsidRPr="0065125A">
        <w:rPr>
          <w:rFonts w:cstheme="minorHAnsi"/>
          <w:lang w:val="en-CA"/>
        </w:rPr>
        <w:t xml:space="preserve">been criticized for being a platform for anti-Semitic opinions </w:t>
      </w:r>
      <w:r w:rsidR="006A5802" w:rsidRPr="0065125A">
        <w:rPr>
          <w:rFonts w:cstheme="minorHAnsi"/>
          <w:lang w:val="en-CA"/>
        </w:rPr>
        <w:t>by</w:t>
      </w:r>
      <w:r w:rsidR="00E40275" w:rsidRPr="0065125A">
        <w:rPr>
          <w:rFonts w:cstheme="minorHAnsi"/>
          <w:lang w:val="en-CA"/>
        </w:rPr>
        <w:t xml:space="preserve"> interviewing white nationalists such as David Duke, Jared Taylor and Richard Spencer.</w:t>
      </w:r>
      <w:r w:rsidR="00E40275" w:rsidRPr="0065125A">
        <w:rPr>
          <w:rStyle w:val="FootnoteReference"/>
          <w:rFonts w:cstheme="minorHAnsi"/>
          <w:lang w:val="en-CA"/>
        </w:rPr>
        <w:footnoteReference w:id="11"/>
      </w:r>
      <w:r w:rsidR="00D43DCD" w:rsidRPr="0065125A">
        <w:rPr>
          <w:rFonts w:cstheme="minorHAnsi"/>
          <w:lang w:val="en-CA"/>
        </w:rPr>
        <w:t xml:space="preserve"> </w:t>
      </w:r>
      <w:r w:rsidR="00D132A2" w:rsidRPr="0065125A">
        <w:rPr>
          <w:rFonts w:cstheme="minorHAnsi"/>
          <w:lang w:val="en-CA"/>
        </w:rPr>
        <w:t xml:space="preserve">RT has consistently villainized </w:t>
      </w:r>
      <w:r w:rsidR="00D51709" w:rsidRPr="0065125A">
        <w:rPr>
          <w:rFonts w:cstheme="minorHAnsi"/>
          <w:lang w:val="en-CA"/>
        </w:rPr>
        <w:t>Ukrainians</w:t>
      </w:r>
      <w:r w:rsidR="00D132A2" w:rsidRPr="0065125A">
        <w:rPr>
          <w:rFonts w:cstheme="minorHAnsi"/>
          <w:lang w:val="en-CA"/>
        </w:rPr>
        <w:t xml:space="preserve"> since 2014, alleging that </w:t>
      </w:r>
      <w:r w:rsidR="00EA0C54" w:rsidRPr="0065125A">
        <w:rPr>
          <w:rFonts w:cstheme="minorHAnsi"/>
          <w:lang w:val="en-CA"/>
        </w:rPr>
        <w:t xml:space="preserve">the </w:t>
      </w:r>
      <w:r w:rsidR="00D132A2" w:rsidRPr="0065125A">
        <w:rPr>
          <w:rFonts w:cstheme="minorHAnsi"/>
          <w:lang w:val="en-CA"/>
        </w:rPr>
        <w:t xml:space="preserve">Ukrainian government was taken over by a Nazi regime and committed humanitarian crimes against refugees and </w:t>
      </w:r>
      <w:r w:rsidR="00D51709" w:rsidRPr="0065125A">
        <w:rPr>
          <w:rFonts w:cstheme="minorHAnsi"/>
          <w:lang w:val="en-CA"/>
        </w:rPr>
        <w:t>Russian minorities.</w:t>
      </w:r>
      <w:r w:rsidR="004751A6" w:rsidRPr="0065125A">
        <w:rPr>
          <w:rFonts w:cstheme="minorHAnsi"/>
          <w:lang w:val="en-CA"/>
        </w:rPr>
        <w:t xml:space="preserve"> </w:t>
      </w:r>
      <w:r w:rsidR="00F00CAF" w:rsidRPr="0065125A">
        <w:rPr>
          <w:rFonts w:cstheme="minorHAnsi"/>
          <w:lang w:val="en-CA"/>
        </w:rPr>
        <w:t xml:space="preserve">Similarly, CRTC found that RT hosted speakers that amplified the </w:t>
      </w:r>
      <w:r w:rsidR="00EA0C54" w:rsidRPr="0065125A">
        <w:rPr>
          <w:rFonts w:cstheme="minorHAnsi"/>
          <w:lang w:val="en-CA"/>
        </w:rPr>
        <w:t>anti-LGBTQ</w:t>
      </w:r>
      <w:r w:rsidR="00F00CAF" w:rsidRPr="0065125A">
        <w:rPr>
          <w:rFonts w:cstheme="minorHAnsi"/>
          <w:lang w:val="en-CA"/>
        </w:rPr>
        <w:t xml:space="preserve"> policies of the Russian government</w:t>
      </w:r>
      <w:r w:rsidR="00865F8A" w:rsidRPr="0065125A">
        <w:rPr>
          <w:rFonts w:cstheme="minorHAnsi"/>
          <w:lang w:val="en-CA"/>
        </w:rPr>
        <w:t xml:space="preserve">. Another concern was that RT generally provided a platform </w:t>
      </w:r>
      <w:r w:rsidR="00EA0C54" w:rsidRPr="0065125A">
        <w:rPr>
          <w:rFonts w:cstheme="minorHAnsi"/>
          <w:lang w:val="en-CA"/>
        </w:rPr>
        <w:t>for</w:t>
      </w:r>
      <w:r w:rsidR="00865F8A" w:rsidRPr="0065125A">
        <w:rPr>
          <w:rFonts w:cstheme="minorHAnsi"/>
          <w:lang w:val="en-CA"/>
        </w:rPr>
        <w:t xml:space="preserve"> anti-democratic movements in the West. </w:t>
      </w:r>
      <w:r w:rsidR="00D31428" w:rsidRPr="0065125A">
        <w:rPr>
          <w:rFonts w:cstheme="minorHAnsi"/>
          <w:lang w:val="en-CA"/>
        </w:rPr>
        <w:t>RT extensively reported on the American and Canadian protestors that</w:t>
      </w:r>
      <w:r w:rsidR="0021291B" w:rsidRPr="0065125A">
        <w:rPr>
          <w:rFonts w:cstheme="minorHAnsi"/>
          <w:lang w:val="en-CA"/>
        </w:rPr>
        <w:t xml:space="preserve"> called for “the absolute removal </w:t>
      </w:r>
      <w:r w:rsidR="0021291B" w:rsidRPr="0065125A">
        <w:rPr>
          <w:rFonts w:cstheme="minorHAnsi"/>
          <w:lang w:val="en-CA"/>
        </w:rPr>
        <w:lastRenderedPageBreak/>
        <w:t>of the current political structure” in Canada and the US.</w:t>
      </w:r>
      <w:r w:rsidR="0021291B" w:rsidRPr="0065125A">
        <w:rPr>
          <w:rStyle w:val="FootnoteReference"/>
          <w:rFonts w:cstheme="minorHAnsi"/>
          <w:lang w:val="en-CA"/>
        </w:rPr>
        <w:footnoteReference w:id="12"/>
      </w:r>
      <w:r w:rsidR="005A481F" w:rsidRPr="0065125A">
        <w:rPr>
          <w:rFonts w:cstheme="minorHAnsi"/>
          <w:lang w:val="en-CA"/>
        </w:rPr>
        <w:t xml:space="preserve"> The European Commission </w:t>
      </w:r>
      <w:r w:rsidR="009C2C39" w:rsidRPr="0065125A">
        <w:rPr>
          <w:rFonts w:cstheme="minorHAnsi"/>
          <w:lang w:val="en-CA"/>
        </w:rPr>
        <w:t xml:space="preserve">found that </w:t>
      </w:r>
      <w:r w:rsidR="00427E85" w:rsidRPr="0065125A">
        <w:rPr>
          <w:rFonts w:cstheme="minorHAnsi"/>
          <w:lang w:val="en-CA"/>
        </w:rPr>
        <w:t xml:space="preserve">through its media apparatus, including Russia Today, the Russian government </w:t>
      </w:r>
      <w:r w:rsidR="00C25D3E" w:rsidRPr="0065125A">
        <w:rPr>
          <w:rFonts w:cstheme="minorHAnsi"/>
          <w:lang w:val="en-CA"/>
        </w:rPr>
        <w:t xml:space="preserve">pursued a </w:t>
      </w:r>
      <w:r w:rsidR="009514DE" w:rsidRPr="0065125A">
        <w:rPr>
          <w:rFonts w:cstheme="minorHAnsi"/>
          <w:lang w:val="en-CA"/>
        </w:rPr>
        <w:t>destabilization strategy</w:t>
      </w:r>
      <w:r w:rsidR="00C25D3E" w:rsidRPr="0065125A">
        <w:rPr>
          <w:rFonts w:cstheme="minorHAnsi"/>
          <w:lang w:val="en-CA"/>
        </w:rPr>
        <w:t>, repeatedly and consistently targeting European political parties</w:t>
      </w:r>
      <w:r w:rsidR="00427E85" w:rsidRPr="0065125A">
        <w:rPr>
          <w:rFonts w:cstheme="minorHAnsi"/>
          <w:lang w:val="en-CA"/>
        </w:rPr>
        <w:t xml:space="preserve"> </w:t>
      </w:r>
      <w:r w:rsidR="00C25D3E" w:rsidRPr="0065125A">
        <w:rPr>
          <w:rFonts w:cstheme="minorHAnsi"/>
          <w:lang w:val="en-CA"/>
        </w:rPr>
        <w:t>during election periods and democratic institutions in the EU and its member states.</w:t>
      </w:r>
      <w:r w:rsidR="00C25D3E" w:rsidRPr="0065125A">
        <w:rPr>
          <w:rStyle w:val="FootnoteReference"/>
          <w:rFonts w:cstheme="minorHAnsi"/>
          <w:lang w:val="en-CA"/>
        </w:rPr>
        <w:footnoteReference w:id="13"/>
      </w:r>
      <w:r w:rsidR="004C7A0A" w:rsidRPr="0065125A">
        <w:rPr>
          <w:rFonts w:cstheme="minorHAnsi"/>
          <w:lang w:val="en-CA"/>
        </w:rPr>
        <w:t xml:space="preserve"> </w:t>
      </w:r>
      <w:r w:rsidR="00746491" w:rsidRPr="0065125A">
        <w:rPr>
          <w:rFonts w:cstheme="minorHAnsi"/>
          <w:lang w:val="en-CA"/>
        </w:rPr>
        <w:t>RT hosted and continues to host commentators that deny the January 6 conspiracy in the US</w:t>
      </w:r>
      <w:r w:rsidR="00E85DEC" w:rsidRPr="0065125A">
        <w:rPr>
          <w:rFonts w:cstheme="minorHAnsi"/>
          <w:lang w:val="en-CA"/>
        </w:rPr>
        <w:t>.</w:t>
      </w:r>
      <w:r w:rsidR="00E85DEC" w:rsidRPr="0065125A">
        <w:rPr>
          <w:rStyle w:val="FootnoteReference"/>
          <w:rFonts w:cstheme="minorHAnsi"/>
          <w:lang w:val="en-CA"/>
        </w:rPr>
        <w:footnoteReference w:id="14"/>
      </w:r>
      <w:r w:rsidR="008A66F1" w:rsidRPr="0065125A">
        <w:rPr>
          <w:rFonts w:cstheme="minorHAnsi"/>
          <w:lang w:val="en-CA"/>
        </w:rPr>
        <w:t xml:space="preserve"> </w:t>
      </w:r>
      <w:r w:rsidR="000F3C65" w:rsidRPr="0065125A">
        <w:rPr>
          <w:rFonts w:cstheme="minorHAnsi"/>
          <w:lang w:val="en-CA"/>
        </w:rPr>
        <w:t xml:space="preserve">Both the CRTC and the European Council noted that persons </w:t>
      </w:r>
      <w:r w:rsidR="00E855AC" w:rsidRPr="0065125A">
        <w:rPr>
          <w:rFonts w:cstheme="minorHAnsi"/>
          <w:lang w:val="en-CA"/>
        </w:rPr>
        <w:t>who were individually sanctioned for their pro-Russian war opinions held influential positions</w:t>
      </w:r>
      <w:r w:rsidR="00427E85" w:rsidRPr="0065125A">
        <w:rPr>
          <w:rFonts w:cstheme="minorHAnsi"/>
          <w:lang w:val="en-CA"/>
        </w:rPr>
        <w:t>,</w:t>
      </w:r>
      <w:r w:rsidR="00E855AC" w:rsidRPr="0065125A">
        <w:rPr>
          <w:rFonts w:cstheme="minorHAnsi"/>
          <w:lang w:val="en-CA"/>
        </w:rPr>
        <w:t xml:space="preserve"> such as the editor-in-chief position </w:t>
      </w:r>
      <w:r w:rsidR="006566F8" w:rsidRPr="0065125A">
        <w:rPr>
          <w:rFonts w:cstheme="minorHAnsi"/>
          <w:lang w:val="en-CA"/>
        </w:rPr>
        <w:t>of RT’s English language programming.</w:t>
      </w:r>
    </w:p>
    <w:p w14:paraId="4FFE2070" w14:textId="25A5FE2A" w:rsidR="000F3C65" w:rsidRPr="0065125A" w:rsidRDefault="00B06F62" w:rsidP="00B52B48">
      <w:pPr>
        <w:pStyle w:val="Heading1"/>
        <w:rPr>
          <w:lang w:val="en-CA"/>
        </w:rPr>
      </w:pPr>
      <w:bookmarkStart w:id="4" w:name="_Toc101364440"/>
      <w:r w:rsidRPr="0065125A">
        <w:rPr>
          <w:lang w:val="en-CA"/>
        </w:rPr>
        <w:t xml:space="preserve">CRTC </w:t>
      </w:r>
      <w:r w:rsidR="00FF53DD">
        <w:rPr>
          <w:lang w:val="en-CA"/>
        </w:rPr>
        <w:t>d</w:t>
      </w:r>
      <w:r w:rsidR="007976BA" w:rsidRPr="0065125A">
        <w:rPr>
          <w:lang w:val="en-CA"/>
        </w:rPr>
        <w:t xml:space="preserve">ecision on Russia Today’s </w:t>
      </w:r>
      <w:r w:rsidR="00FF53DD">
        <w:rPr>
          <w:lang w:val="en-CA"/>
        </w:rPr>
        <w:t>b</w:t>
      </w:r>
      <w:r w:rsidR="007976BA" w:rsidRPr="0065125A">
        <w:rPr>
          <w:lang w:val="en-CA"/>
        </w:rPr>
        <w:t xml:space="preserve">roadcasting </w:t>
      </w:r>
      <w:r w:rsidR="00FF53DD">
        <w:rPr>
          <w:lang w:val="en-CA"/>
        </w:rPr>
        <w:t>r</w:t>
      </w:r>
      <w:r w:rsidR="007976BA" w:rsidRPr="0065125A">
        <w:rPr>
          <w:lang w:val="en-CA"/>
        </w:rPr>
        <w:t>ights in Canada</w:t>
      </w:r>
      <w:bookmarkEnd w:id="4"/>
    </w:p>
    <w:p w14:paraId="58FFE036" w14:textId="11D0ABF3" w:rsidR="00C56F19" w:rsidRPr="0065125A" w:rsidRDefault="007C10BB" w:rsidP="00B52B48">
      <w:pPr>
        <w:pStyle w:val="Heading2"/>
        <w:rPr>
          <w:lang w:val="en-CA"/>
        </w:rPr>
      </w:pPr>
      <w:bookmarkStart w:id="5" w:name="_Toc101364441"/>
      <w:r w:rsidRPr="0065125A">
        <w:rPr>
          <w:lang w:val="en-CA"/>
        </w:rPr>
        <w:t xml:space="preserve">The </w:t>
      </w:r>
      <w:r w:rsidR="00A735FA">
        <w:rPr>
          <w:lang w:val="en-CA"/>
        </w:rPr>
        <w:t>r</w:t>
      </w:r>
      <w:r w:rsidRPr="0065125A">
        <w:rPr>
          <w:lang w:val="en-CA"/>
        </w:rPr>
        <w:t xml:space="preserve">egulatory </w:t>
      </w:r>
      <w:r w:rsidR="00A735FA">
        <w:rPr>
          <w:lang w:val="en-CA"/>
        </w:rPr>
        <w:t>f</w:t>
      </w:r>
      <w:r w:rsidRPr="0065125A">
        <w:rPr>
          <w:lang w:val="en-CA"/>
        </w:rPr>
        <w:t>ramework</w:t>
      </w:r>
      <w:bookmarkEnd w:id="5"/>
    </w:p>
    <w:p w14:paraId="2D879DDB" w14:textId="72FC9821" w:rsidR="00A624C8" w:rsidRPr="0065125A" w:rsidRDefault="0093413A" w:rsidP="009145AB">
      <w:pPr>
        <w:spacing w:line="480" w:lineRule="auto"/>
        <w:ind w:firstLine="720"/>
        <w:rPr>
          <w:rFonts w:cstheme="minorHAnsi"/>
          <w:lang w:val="en-CA"/>
        </w:rPr>
      </w:pPr>
      <w:r w:rsidRPr="0065125A">
        <w:rPr>
          <w:rFonts w:cstheme="minorHAnsi"/>
          <w:lang w:val="en-CA"/>
        </w:rPr>
        <w:t xml:space="preserve">The Canadian framework for </w:t>
      </w:r>
      <w:r w:rsidR="00AC5471" w:rsidRPr="0065125A">
        <w:rPr>
          <w:rFonts w:cstheme="minorHAnsi"/>
          <w:lang w:val="en-CA"/>
        </w:rPr>
        <w:t xml:space="preserve">the </w:t>
      </w:r>
      <w:r w:rsidRPr="0065125A">
        <w:rPr>
          <w:rFonts w:cstheme="minorHAnsi"/>
          <w:lang w:val="en-CA"/>
        </w:rPr>
        <w:t xml:space="preserve">carriage of </w:t>
      </w:r>
      <w:r w:rsidR="00AC73E6" w:rsidRPr="0065125A">
        <w:rPr>
          <w:rFonts w:cstheme="minorHAnsi"/>
          <w:lang w:val="en-CA"/>
        </w:rPr>
        <w:t xml:space="preserve">foreign programming services is found in the Broadcasting Act. </w:t>
      </w:r>
      <w:r w:rsidR="00B37778" w:rsidRPr="0065125A">
        <w:rPr>
          <w:rFonts w:cstheme="minorHAnsi"/>
          <w:lang w:val="en-CA"/>
        </w:rPr>
        <w:t xml:space="preserve">Under this Act, the CRTC has the power to make regulations regarding the carriage of foreign or other </w:t>
      </w:r>
      <w:r w:rsidR="00822A0B" w:rsidRPr="0065125A">
        <w:rPr>
          <w:rFonts w:cstheme="minorHAnsi"/>
          <w:lang w:val="en-CA"/>
        </w:rPr>
        <w:t>programming ser</w:t>
      </w:r>
      <w:r w:rsidR="00B41F16" w:rsidRPr="0065125A">
        <w:rPr>
          <w:rFonts w:cstheme="minorHAnsi"/>
          <w:lang w:val="en-CA"/>
        </w:rPr>
        <w:t>vices by distribution undertakings</w:t>
      </w:r>
      <w:r w:rsidR="00224121" w:rsidRPr="0065125A">
        <w:rPr>
          <w:rFonts w:cstheme="minorHAnsi"/>
          <w:lang w:val="en-CA"/>
        </w:rPr>
        <w:t xml:space="preserve">. </w:t>
      </w:r>
      <w:r w:rsidR="00C74E73" w:rsidRPr="0065125A">
        <w:rPr>
          <w:rFonts w:cstheme="minorHAnsi"/>
          <w:lang w:val="en-CA"/>
        </w:rPr>
        <w:t>A d</w:t>
      </w:r>
      <w:r w:rsidR="00224121" w:rsidRPr="0065125A">
        <w:rPr>
          <w:rFonts w:cstheme="minorHAnsi"/>
          <w:lang w:val="en-CA"/>
        </w:rPr>
        <w:t xml:space="preserve">istribution </w:t>
      </w:r>
      <w:r w:rsidR="00C74E73" w:rsidRPr="0065125A">
        <w:rPr>
          <w:rFonts w:cstheme="minorHAnsi"/>
          <w:lang w:val="en-CA"/>
        </w:rPr>
        <w:t xml:space="preserve">undertaking is an undertaking for the reception and retransmission </w:t>
      </w:r>
      <w:r w:rsidR="00705471" w:rsidRPr="0065125A">
        <w:rPr>
          <w:rFonts w:cstheme="minorHAnsi"/>
          <w:lang w:val="en-CA"/>
        </w:rPr>
        <w:t xml:space="preserve">by any means of telecommunication of broadcasting. Broadcasting is </w:t>
      </w:r>
      <w:r w:rsidR="00F37B96" w:rsidRPr="0065125A">
        <w:rPr>
          <w:rFonts w:cstheme="minorHAnsi"/>
          <w:lang w:val="en-CA"/>
        </w:rPr>
        <w:t>the transmission of programs by any means of telecommunication for reception by the public through</w:t>
      </w:r>
      <w:r w:rsidR="00551ED1" w:rsidRPr="0065125A">
        <w:rPr>
          <w:rFonts w:cstheme="minorHAnsi"/>
          <w:lang w:val="en-CA"/>
        </w:rPr>
        <w:t xml:space="preserve"> </w:t>
      </w:r>
      <w:r w:rsidR="00F37B96" w:rsidRPr="0065125A">
        <w:rPr>
          <w:rFonts w:cstheme="minorHAnsi"/>
          <w:lang w:val="en-CA"/>
        </w:rPr>
        <w:t xml:space="preserve">a </w:t>
      </w:r>
      <w:r w:rsidR="00551ED1" w:rsidRPr="0065125A">
        <w:rPr>
          <w:rFonts w:cstheme="minorHAnsi"/>
          <w:lang w:val="en-CA"/>
        </w:rPr>
        <w:t xml:space="preserve">broadcasting receiving apparatus. In plain English, a distribution undertaking </w:t>
      </w:r>
      <w:r w:rsidR="009B4FA9" w:rsidRPr="0065125A">
        <w:rPr>
          <w:rFonts w:cstheme="minorHAnsi"/>
          <w:lang w:val="en-CA"/>
        </w:rPr>
        <w:t xml:space="preserve">(BDU) </w:t>
      </w:r>
      <w:r w:rsidR="00551ED1" w:rsidRPr="0065125A">
        <w:rPr>
          <w:rFonts w:cstheme="minorHAnsi"/>
          <w:lang w:val="en-CA"/>
        </w:rPr>
        <w:t xml:space="preserve">is best understood as the </w:t>
      </w:r>
      <w:r w:rsidR="0004527C" w:rsidRPr="0065125A">
        <w:rPr>
          <w:rFonts w:cstheme="minorHAnsi"/>
          <w:lang w:val="en-CA"/>
        </w:rPr>
        <w:t xml:space="preserve">operation of the </w:t>
      </w:r>
      <w:r w:rsidR="00F73741" w:rsidRPr="0065125A">
        <w:rPr>
          <w:rFonts w:cstheme="minorHAnsi"/>
          <w:lang w:val="en-CA"/>
        </w:rPr>
        <w:t xml:space="preserve">physical framework, often cable, that is used to carry broadcasting signals </w:t>
      </w:r>
      <w:r w:rsidR="0004527C" w:rsidRPr="0065125A">
        <w:rPr>
          <w:rFonts w:cstheme="minorHAnsi"/>
          <w:lang w:val="en-CA"/>
        </w:rPr>
        <w:t xml:space="preserve">to subscribers of that </w:t>
      </w:r>
      <w:r w:rsidR="00005F10" w:rsidRPr="0065125A">
        <w:rPr>
          <w:rFonts w:cstheme="minorHAnsi"/>
          <w:lang w:val="en-CA"/>
        </w:rPr>
        <w:t>undertaking</w:t>
      </w:r>
      <w:r w:rsidR="0004527C" w:rsidRPr="0065125A">
        <w:rPr>
          <w:rFonts w:cstheme="minorHAnsi"/>
          <w:lang w:val="en-CA"/>
        </w:rPr>
        <w:t>. In contrast, broadcasting is the original transmission of</w:t>
      </w:r>
      <w:r w:rsidR="006C4448" w:rsidRPr="0065125A">
        <w:rPr>
          <w:rFonts w:cstheme="minorHAnsi"/>
          <w:lang w:val="en-CA"/>
        </w:rPr>
        <w:t xml:space="preserve"> television</w:t>
      </w:r>
      <w:r w:rsidR="0004527C" w:rsidRPr="0065125A">
        <w:rPr>
          <w:rFonts w:cstheme="minorHAnsi"/>
          <w:lang w:val="en-CA"/>
        </w:rPr>
        <w:t xml:space="preserve"> programs by the producer</w:t>
      </w:r>
      <w:r w:rsidR="006C4448" w:rsidRPr="0065125A">
        <w:rPr>
          <w:rFonts w:cstheme="minorHAnsi"/>
          <w:lang w:val="en-CA"/>
        </w:rPr>
        <w:t xml:space="preserve"> of that content</w:t>
      </w:r>
      <w:r w:rsidR="00C849AC" w:rsidRPr="0065125A">
        <w:rPr>
          <w:rFonts w:cstheme="minorHAnsi"/>
          <w:lang w:val="en-CA"/>
        </w:rPr>
        <w:t xml:space="preserve">, often by signal transmitters. Even </w:t>
      </w:r>
      <w:r w:rsidR="00C849AC" w:rsidRPr="0065125A">
        <w:rPr>
          <w:rFonts w:cstheme="minorHAnsi"/>
          <w:lang w:val="en-CA"/>
        </w:rPr>
        <w:lastRenderedPageBreak/>
        <w:t xml:space="preserve">though the broadcasting signal is available for free to anyone equipped with a capable antenna, </w:t>
      </w:r>
      <w:r w:rsidR="00AA030A" w:rsidRPr="0065125A">
        <w:rPr>
          <w:rFonts w:cstheme="minorHAnsi"/>
          <w:lang w:val="en-CA"/>
        </w:rPr>
        <w:t xml:space="preserve">more than 90 percent of Canadians </w:t>
      </w:r>
      <w:r w:rsidR="003F3F24" w:rsidRPr="0065125A">
        <w:rPr>
          <w:rFonts w:cstheme="minorHAnsi"/>
          <w:lang w:val="en-CA"/>
        </w:rPr>
        <w:t>subscribe to</w:t>
      </w:r>
      <w:r w:rsidR="00AA030A" w:rsidRPr="0065125A">
        <w:rPr>
          <w:rFonts w:cstheme="minorHAnsi"/>
          <w:lang w:val="en-CA"/>
        </w:rPr>
        <w:t xml:space="preserve"> distribution undertakings </w:t>
      </w:r>
      <w:r w:rsidR="004938D9" w:rsidRPr="0065125A">
        <w:rPr>
          <w:rFonts w:cstheme="minorHAnsi"/>
          <w:lang w:val="en-CA"/>
        </w:rPr>
        <w:t>to receive television programming.</w:t>
      </w:r>
      <w:r w:rsidR="004938D9" w:rsidRPr="0065125A">
        <w:rPr>
          <w:rStyle w:val="FootnoteReference"/>
          <w:rFonts w:cstheme="minorHAnsi"/>
          <w:lang w:val="en-CA"/>
        </w:rPr>
        <w:footnoteReference w:id="15"/>
      </w:r>
      <w:r w:rsidR="00D309DD" w:rsidRPr="0065125A">
        <w:rPr>
          <w:rFonts w:cstheme="minorHAnsi"/>
          <w:lang w:val="en-CA"/>
        </w:rPr>
        <w:t xml:space="preserve"> </w:t>
      </w:r>
    </w:p>
    <w:p w14:paraId="0D6AFB65" w14:textId="0A1FF7C4" w:rsidR="00674A0D" w:rsidRPr="0065125A" w:rsidRDefault="00233DA0" w:rsidP="009145AB">
      <w:pPr>
        <w:spacing w:line="480" w:lineRule="auto"/>
        <w:ind w:firstLine="720"/>
        <w:rPr>
          <w:rFonts w:cstheme="minorHAnsi"/>
          <w:lang w:val="en-CA"/>
        </w:rPr>
      </w:pPr>
      <w:r w:rsidRPr="0065125A">
        <w:rPr>
          <w:rFonts w:cstheme="minorHAnsi"/>
          <w:lang w:val="en-CA"/>
        </w:rPr>
        <w:t>Under the Broadcasting Act, t</w:t>
      </w:r>
      <w:r w:rsidR="00F91FAB" w:rsidRPr="0065125A">
        <w:rPr>
          <w:rFonts w:cstheme="minorHAnsi"/>
          <w:lang w:val="en-CA"/>
        </w:rPr>
        <w:t xml:space="preserve">he CRTC has </w:t>
      </w:r>
      <w:r w:rsidR="007E6A0C" w:rsidRPr="0065125A">
        <w:rPr>
          <w:rFonts w:cstheme="minorHAnsi"/>
          <w:lang w:val="en-CA"/>
        </w:rPr>
        <w:t xml:space="preserve">the </w:t>
      </w:r>
      <w:r w:rsidR="00F91FAB" w:rsidRPr="0065125A">
        <w:rPr>
          <w:rFonts w:cstheme="minorHAnsi"/>
          <w:lang w:val="en-CA"/>
        </w:rPr>
        <w:t xml:space="preserve">power to </w:t>
      </w:r>
      <w:r w:rsidR="009748C1" w:rsidRPr="0065125A">
        <w:rPr>
          <w:rFonts w:cstheme="minorHAnsi"/>
          <w:lang w:val="en-CA"/>
        </w:rPr>
        <w:t xml:space="preserve">issue licenses to </w:t>
      </w:r>
      <w:r w:rsidR="009B4FA9" w:rsidRPr="0065125A">
        <w:rPr>
          <w:rFonts w:cstheme="minorHAnsi"/>
          <w:lang w:val="en-CA"/>
        </w:rPr>
        <w:t>BDU</w:t>
      </w:r>
      <w:r w:rsidR="009748C1" w:rsidRPr="0065125A">
        <w:rPr>
          <w:rFonts w:cstheme="minorHAnsi"/>
          <w:lang w:val="en-CA"/>
        </w:rPr>
        <w:t>s</w:t>
      </w:r>
      <w:r w:rsidRPr="0065125A">
        <w:rPr>
          <w:rFonts w:cstheme="minorHAnsi"/>
          <w:lang w:val="en-CA"/>
        </w:rPr>
        <w:t xml:space="preserve"> (s.9) and</w:t>
      </w:r>
      <w:r w:rsidR="00A71FD4" w:rsidRPr="0065125A">
        <w:rPr>
          <w:rFonts w:cstheme="minorHAnsi"/>
          <w:lang w:val="en-CA"/>
        </w:rPr>
        <w:t xml:space="preserve"> make </w:t>
      </w:r>
      <w:r w:rsidR="007E6A0C" w:rsidRPr="0065125A">
        <w:rPr>
          <w:rFonts w:cstheme="minorHAnsi"/>
          <w:lang w:val="en-CA"/>
        </w:rPr>
        <w:t>regulations</w:t>
      </w:r>
      <w:r w:rsidR="00484949" w:rsidRPr="0065125A">
        <w:rPr>
          <w:rFonts w:cstheme="minorHAnsi"/>
          <w:lang w:val="en-CA"/>
        </w:rPr>
        <w:t xml:space="preserve"> regarding </w:t>
      </w:r>
      <w:r w:rsidR="007E6A0C" w:rsidRPr="0065125A">
        <w:rPr>
          <w:rFonts w:cstheme="minorHAnsi"/>
          <w:lang w:val="en-CA"/>
        </w:rPr>
        <w:t xml:space="preserve">the </w:t>
      </w:r>
      <w:r w:rsidR="00484949" w:rsidRPr="0065125A">
        <w:rPr>
          <w:rFonts w:cstheme="minorHAnsi"/>
          <w:lang w:val="en-CA"/>
        </w:rPr>
        <w:t xml:space="preserve">broadcasting </w:t>
      </w:r>
      <w:r w:rsidR="00CD468A" w:rsidRPr="0065125A">
        <w:rPr>
          <w:rFonts w:cstheme="minorHAnsi"/>
          <w:lang w:val="en-CA"/>
        </w:rPr>
        <w:t>of Canadian programs</w:t>
      </w:r>
      <w:r w:rsidR="00A71FD4" w:rsidRPr="0065125A">
        <w:rPr>
          <w:rFonts w:cstheme="minorHAnsi"/>
          <w:lang w:val="en-CA"/>
        </w:rPr>
        <w:t xml:space="preserve"> </w:t>
      </w:r>
      <w:r w:rsidRPr="0065125A">
        <w:rPr>
          <w:rFonts w:cstheme="minorHAnsi"/>
          <w:lang w:val="en-CA"/>
        </w:rPr>
        <w:t xml:space="preserve">(s.10) </w:t>
      </w:r>
      <w:r w:rsidR="00484949" w:rsidRPr="0065125A">
        <w:rPr>
          <w:rFonts w:cstheme="minorHAnsi"/>
          <w:lang w:val="en-CA"/>
        </w:rPr>
        <w:t xml:space="preserve">in furtherance of its objectives in </w:t>
      </w:r>
      <w:r w:rsidRPr="0065125A">
        <w:rPr>
          <w:rFonts w:cstheme="minorHAnsi"/>
          <w:lang w:val="en-CA"/>
        </w:rPr>
        <w:t>s.3.</w:t>
      </w:r>
      <w:r w:rsidR="003C37F9" w:rsidRPr="0065125A">
        <w:rPr>
          <w:rStyle w:val="FootnoteReference"/>
          <w:rFonts w:cstheme="minorHAnsi"/>
          <w:lang w:val="en-CA"/>
        </w:rPr>
        <w:footnoteReference w:id="16"/>
      </w:r>
      <w:r w:rsidR="00FC749D" w:rsidRPr="0065125A">
        <w:rPr>
          <w:rFonts w:cstheme="minorHAnsi"/>
          <w:lang w:val="en-CA"/>
        </w:rPr>
        <w:t xml:space="preserve"> The policy objectives</w:t>
      </w:r>
      <w:r w:rsidR="00820C87" w:rsidRPr="0065125A">
        <w:rPr>
          <w:rFonts w:cstheme="minorHAnsi"/>
          <w:lang w:val="en-CA"/>
        </w:rPr>
        <w:t xml:space="preserve"> in s.3</w:t>
      </w:r>
      <w:r w:rsidR="00FC749D" w:rsidRPr="0065125A">
        <w:rPr>
          <w:rFonts w:cstheme="minorHAnsi"/>
          <w:lang w:val="en-CA"/>
        </w:rPr>
        <w:t xml:space="preserve"> are</w:t>
      </w:r>
      <w:r w:rsidR="00C96BCD" w:rsidRPr="0065125A">
        <w:rPr>
          <w:rFonts w:cstheme="minorHAnsi"/>
          <w:lang w:val="en-CA"/>
        </w:rPr>
        <w:t xml:space="preserve"> mainly cultural.</w:t>
      </w:r>
      <w:r w:rsidR="00820C87" w:rsidRPr="0065125A">
        <w:rPr>
          <w:rStyle w:val="FootnoteReference"/>
          <w:rFonts w:cstheme="minorHAnsi"/>
          <w:lang w:val="en-CA"/>
        </w:rPr>
        <w:t xml:space="preserve"> </w:t>
      </w:r>
      <w:r w:rsidR="00820C87" w:rsidRPr="0065125A">
        <w:rPr>
          <w:rStyle w:val="FootnoteReference"/>
          <w:rFonts w:cstheme="minorHAnsi"/>
          <w:lang w:val="en-CA"/>
        </w:rPr>
        <w:footnoteReference w:id="17"/>
      </w:r>
      <w:r w:rsidR="00C96BCD" w:rsidRPr="0065125A">
        <w:rPr>
          <w:rFonts w:cstheme="minorHAnsi"/>
          <w:lang w:val="en-CA"/>
        </w:rPr>
        <w:t xml:space="preserve"> Generally, they require that Canadian broadcasting </w:t>
      </w:r>
      <w:r w:rsidR="004640D8" w:rsidRPr="0065125A">
        <w:rPr>
          <w:rFonts w:cstheme="minorHAnsi"/>
          <w:lang w:val="en-CA"/>
        </w:rPr>
        <w:t>be effectively owned and controlled by Canadians, operate primarily in English and French, and enrich and strengthen Canada's cultural, political, social, and economic fabric</w:t>
      </w:r>
      <w:r w:rsidR="00453956" w:rsidRPr="0065125A">
        <w:rPr>
          <w:rFonts w:cstheme="minorHAnsi"/>
          <w:lang w:val="en-CA"/>
        </w:rPr>
        <w:t xml:space="preserve">. To this goal, </w:t>
      </w:r>
      <w:r w:rsidR="00517128" w:rsidRPr="0065125A">
        <w:rPr>
          <w:rFonts w:cstheme="minorHAnsi"/>
          <w:lang w:val="en-CA"/>
        </w:rPr>
        <w:t xml:space="preserve">distribution undertakings should be regulated to </w:t>
      </w:r>
      <w:r w:rsidR="00820C87" w:rsidRPr="0065125A">
        <w:rPr>
          <w:rFonts w:cstheme="minorHAnsi"/>
          <w:lang w:val="en-CA"/>
        </w:rPr>
        <w:t>prioritize</w:t>
      </w:r>
      <w:r w:rsidR="00517128" w:rsidRPr="0065125A">
        <w:rPr>
          <w:rFonts w:cstheme="minorHAnsi"/>
          <w:lang w:val="en-CA"/>
        </w:rPr>
        <w:t xml:space="preserve"> the carriage of Canadian programming</w:t>
      </w:r>
      <w:r w:rsidR="003578E6" w:rsidRPr="0065125A">
        <w:rPr>
          <w:rFonts w:cstheme="minorHAnsi"/>
          <w:lang w:val="en-CA"/>
        </w:rPr>
        <w:t xml:space="preserve"> services and local Canadian stations.</w:t>
      </w:r>
      <w:r w:rsidR="006648F1" w:rsidRPr="0065125A">
        <w:rPr>
          <w:rFonts w:cstheme="minorHAnsi"/>
          <w:lang w:val="en-CA"/>
        </w:rPr>
        <w:t xml:space="preserve"> </w:t>
      </w:r>
    </w:p>
    <w:p w14:paraId="046500F9" w14:textId="27A127D7" w:rsidR="00E35037" w:rsidRPr="0065125A" w:rsidRDefault="006648F1" w:rsidP="00CC6A40">
      <w:pPr>
        <w:spacing w:line="480" w:lineRule="auto"/>
        <w:ind w:firstLine="720"/>
        <w:rPr>
          <w:rFonts w:cstheme="minorHAnsi"/>
          <w:lang w:val="en-CA"/>
        </w:rPr>
      </w:pPr>
      <w:r w:rsidRPr="0065125A">
        <w:rPr>
          <w:rFonts w:cstheme="minorHAnsi"/>
          <w:lang w:val="en-CA"/>
        </w:rPr>
        <w:t xml:space="preserve">In accordance with the cultural goals briefly summarized </w:t>
      </w:r>
      <w:r w:rsidR="00674A0D" w:rsidRPr="0065125A">
        <w:rPr>
          <w:rFonts w:cstheme="minorHAnsi"/>
          <w:lang w:val="en-CA"/>
        </w:rPr>
        <w:t>above</w:t>
      </w:r>
      <w:r w:rsidRPr="0065125A">
        <w:rPr>
          <w:rFonts w:cstheme="minorHAnsi"/>
          <w:lang w:val="en-CA"/>
        </w:rPr>
        <w:t xml:space="preserve">, CRTC does not </w:t>
      </w:r>
      <w:r w:rsidR="00A5550F" w:rsidRPr="0065125A">
        <w:rPr>
          <w:rFonts w:cstheme="minorHAnsi"/>
          <w:lang w:val="en-CA"/>
        </w:rPr>
        <w:t xml:space="preserve">license non-Canadian </w:t>
      </w:r>
      <w:r w:rsidR="009B4FA9" w:rsidRPr="0065125A">
        <w:rPr>
          <w:rFonts w:cstheme="minorHAnsi"/>
          <w:lang w:val="en-CA"/>
        </w:rPr>
        <w:t>BDU</w:t>
      </w:r>
      <w:r w:rsidR="00A5550F" w:rsidRPr="0065125A">
        <w:rPr>
          <w:rFonts w:cstheme="minorHAnsi"/>
          <w:lang w:val="en-CA"/>
        </w:rPr>
        <w:t>s to broadcast in Canada</w:t>
      </w:r>
      <w:r w:rsidR="00F36716" w:rsidRPr="0065125A">
        <w:rPr>
          <w:rFonts w:cstheme="minorHAnsi"/>
          <w:lang w:val="en-CA"/>
        </w:rPr>
        <w:t xml:space="preserve">. Instead, </w:t>
      </w:r>
      <w:r w:rsidR="002E00BD" w:rsidRPr="0065125A">
        <w:rPr>
          <w:rFonts w:cstheme="minorHAnsi"/>
          <w:lang w:val="en-CA"/>
        </w:rPr>
        <w:t xml:space="preserve">the CRTC whitelists certain non-Canadian programming services </w:t>
      </w:r>
      <w:r w:rsidR="004640D8" w:rsidRPr="0065125A">
        <w:rPr>
          <w:rFonts w:cstheme="minorHAnsi"/>
          <w:lang w:val="en-CA"/>
        </w:rPr>
        <w:t>by adding them to the</w:t>
      </w:r>
      <w:r w:rsidR="007D3462" w:rsidRPr="0065125A">
        <w:rPr>
          <w:rFonts w:cstheme="minorHAnsi"/>
          <w:lang w:val="en-CA"/>
        </w:rPr>
        <w:t xml:space="preserve"> ‘the List’</w:t>
      </w:r>
      <w:r w:rsidR="0061031B" w:rsidRPr="0065125A">
        <w:rPr>
          <w:rStyle w:val="FootnoteReference"/>
          <w:rFonts w:cstheme="minorHAnsi"/>
          <w:lang w:val="en-CA"/>
        </w:rPr>
        <w:footnoteReference w:id="18"/>
      </w:r>
      <w:r w:rsidR="007D3462" w:rsidRPr="0065125A">
        <w:rPr>
          <w:rFonts w:cstheme="minorHAnsi"/>
          <w:lang w:val="en-CA"/>
        </w:rPr>
        <w:t xml:space="preserve"> and</w:t>
      </w:r>
      <w:r w:rsidR="00F36716" w:rsidRPr="0065125A">
        <w:rPr>
          <w:rFonts w:cstheme="minorHAnsi"/>
          <w:lang w:val="en-CA"/>
        </w:rPr>
        <w:t xml:space="preserve"> authorizes Canadian </w:t>
      </w:r>
      <w:r w:rsidR="009B4FA9" w:rsidRPr="0065125A">
        <w:rPr>
          <w:rFonts w:cstheme="minorHAnsi"/>
          <w:lang w:val="en-CA"/>
        </w:rPr>
        <w:t>BDU</w:t>
      </w:r>
      <w:r w:rsidR="00F36716" w:rsidRPr="0065125A">
        <w:rPr>
          <w:rFonts w:cstheme="minorHAnsi"/>
          <w:lang w:val="en-CA"/>
        </w:rPr>
        <w:t xml:space="preserve">s to </w:t>
      </w:r>
      <w:r w:rsidR="007A0DEE" w:rsidRPr="0065125A">
        <w:rPr>
          <w:rFonts w:cstheme="minorHAnsi"/>
          <w:lang w:val="en-CA"/>
        </w:rPr>
        <w:t xml:space="preserve">carry </w:t>
      </w:r>
      <w:r w:rsidR="00061DE8" w:rsidRPr="0065125A">
        <w:rPr>
          <w:rFonts w:cstheme="minorHAnsi"/>
          <w:lang w:val="en-CA"/>
        </w:rPr>
        <w:t xml:space="preserve">the listed </w:t>
      </w:r>
      <w:r w:rsidR="007A0DEE" w:rsidRPr="0065125A">
        <w:rPr>
          <w:rFonts w:cstheme="minorHAnsi"/>
          <w:lang w:val="en-CA"/>
        </w:rPr>
        <w:t>non-Canadian programming services</w:t>
      </w:r>
      <w:r w:rsidR="007D3462" w:rsidRPr="0065125A">
        <w:rPr>
          <w:rFonts w:cstheme="minorHAnsi"/>
          <w:lang w:val="en-CA"/>
        </w:rPr>
        <w:t xml:space="preserve"> subject to various conditions.</w:t>
      </w:r>
      <w:r w:rsidR="0028768A" w:rsidRPr="0065125A">
        <w:rPr>
          <w:rStyle w:val="FootnoteReference"/>
          <w:rFonts w:cstheme="minorHAnsi"/>
          <w:lang w:val="en-CA"/>
        </w:rPr>
        <w:footnoteReference w:id="19"/>
      </w:r>
      <w:r w:rsidR="007A0DEE" w:rsidRPr="0065125A">
        <w:rPr>
          <w:rFonts w:cstheme="minorHAnsi"/>
          <w:lang w:val="en-CA"/>
        </w:rPr>
        <w:t xml:space="preserve"> </w:t>
      </w:r>
      <w:r w:rsidR="001E36EE" w:rsidRPr="0065125A">
        <w:rPr>
          <w:rFonts w:cstheme="minorHAnsi"/>
          <w:lang w:val="en-CA"/>
        </w:rPr>
        <w:t xml:space="preserve">In 2008, CRTC </w:t>
      </w:r>
      <w:r w:rsidR="002C50C5" w:rsidRPr="0065125A">
        <w:rPr>
          <w:rFonts w:cstheme="minorHAnsi"/>
          <w:lang w:val="en-CA"/>
        </w:rPr>
        <w:t>signalled a move to a more open-entry approach to non-Canadian news services.</w:t>
      </w:r>
      <w:r w:rsidR="002C50C5" w:rsidRPr="0065125A">
        <w:rPr>
          <w:rStyle w:val="FootnoteReference"/>
          <w:rFonts w:cstheme="minorHAnsi"/>
          <w:lang w:val="en-CA"/>
        </w:rPr>
        <w:footnoteReference w:id="20"/>
      </w:r>
      <w:r w:rsidR="00202B6B" w:rsidRPr="0065125A">
        <w:rPr>
          <w:rFonts w:cstheme="minorHAnsi"/>
          <w:lang w:val="en-CA"/>
        </w:rPr>
        <w:t xml:space="preserve"> </w:t>
      </w:r>
      <w:r w:rsidR="001B75D8" w:rsidRPr="0065125A">
        <w:rPr>
          <w:rFonts w:cstheme="minorHAnsi"/>
          <w:lang w:val="en-CA"/>
        </w:rPr>
        <w:t>CRTC’s general policy on Listing non-Canadian news services is</w:t>
      </w:r>
      <w:r w:rsidR="00372B66" w:rsidRPr="0065125A">
        <w:rPr>
          <w:rFonts w:cstheme="minorHAnsi"/>
          <w:lang w:val="en-CA"/>
        </w:rPr>
        <w:t xml:space="preserve"> </w:t>
      </w:r>
      <w:r w:rsidR="00B865F5" w:rsidRPr="0065125A">
        <w:rPr>
          <w:rFonts w:cstheme="minorHAnsi"/>
          <w:lang w:val="en-CA"/>
        </w:rPr>
        <w:t xml:space="preserve">a predisposition for whitelisting such services unless there is clear evidence that </w:t>
      </w:r>
      <w:r w:rsidR="001B75D8" w:rsidRPr="0065125A">
        <w:rPr>
          <w:rFonts w:cstheme="minorHAnsi"/>
          <w:lang w:val="en-CA"/>
        </w:rPr>
        <w:t>the</w:t>
      </w:r>
      <w:r w:rsidR="00372B66" w:rsidRPr="0065125A">
        <w:rPr>
          <w:rFonts w:cstheme="minorHAnsi"/>
          <w:lang w:val="en-CA"/>
        </w:rPr>
        <w:t xml:space="preserve"> news service will violate Canadian regulations, such as those regarding </w:t>
      </w:r>
      <w:r w:rsidR="000427B0" w:rsidRPr="0065125A">
        <w:rPr>
          <w:rFonts w:cstheme="minorHAnsi"/>
          <w:lang w:val="en-CA"/>
        </w:rPr>
        <w:t xml:space="preserve">the </w:t>
      </w:r>
      <w:r w:rsidR="00372B66" w:rsidRPr="0065125A">
        <w:rPr>
          <w:rFonts w:cstheme="minorHAnsi"/>
          <w:lang w:val="en-CA"/>
        </w:rPr>
        <w:t>abusive comment</w:t>
      </w:r>
      <w:r w:rsidR="000427B0" w:rsidRPr="0065125A">
        <w:rPr>
          <w:rFonts w:cstheme="minorHAnsi"/>
          <w:lang w:val="en-CA"/>
        </w:rPr>
        <w:t xml:space="preserve"> rules</w:t>
      </w:r>
      <w:r w:rsidR="00372B66" w:rsidRPr="0065125A">
        <w:rPr>
          <w:rFonts w:cstheme="minorHAnsi"/>
          <w:lang w:val="en-CA"/>
        </w:rPr>
        <w:t>.</w:t>
      </w:r>
      <w:r w:rsidR="00B865F5" w:rsidRPr="0065125A">
        <w:rPr>
          <w:rStyle w:val="FootnoteReference"/>
          <w:rFonts w:cstheme="minorHAnsi"/>
          <w:lang w:val="en-CA"/>
        </w:rPr>
        <w:footnoteReference w:id="21"/>
      </w:r>
      <w:r w:rsidR="00A979A2" w:rsidRPr="0065125A">
        <w:rPr>
          <w:rFonts w:cstheme="minorHAnsi"/>
          <w:lang w:val="en-CA"/>
        </w:rPr>
        <w:t xml:space="preserve"> </w:t>
      </w:r>
      <w:r w:rsidR="00EF5584" w:rsidRPr="0065125A">
        <w:rPr>
          <w:rFonts w:cstheme="minorHAnsi"/>
          <w:lang w:val="en-CA"/>
        </w:rPr>
        <w:t xml:space="preserve">The restriction on abusive comments or pictorial representation that tends to or is likely to </w:t>
      </w:r>
      <w:r w:rsidR="00EF5584" w:rsidRPr="0065125A">
        <w:rPr>
          <w:rFonts w:cstheme="minorHAnsi"/>
          <w:lang w:val="en-CA"/>
        </w:rPr>
        <w:lastRenderedPageBreak/>
        <w:t xml:space="preserve">expose an individual or a group or class of individuals to hatred or contempt </w:t>
      </w:r>
      <w:r w:rsidR="00F313F5" w:rsidRPr="0065125A">
        <w:rPr>
          <w:rFonts w:cstheme="minorHAnsi"/>
          <w:lang w:val="en-CA"/>
        </w:rPr>
        <w:t>based on</w:t>
      </w:r>
      <w:r w:rsidR="00EF5584" w:rsidRPr="0065125A">
        <w:rPr>
          <w:rFonts w:cstheme="minorHAnsi"/>
          <w:lang w:val="en-CA"/>
        </w:rPr>
        <w:t xml:space="preserve"> race, national or ethnic origin, colour, religion, sex</w:t>
      </w:r>
      <w:r w:rsidR="00F313F5" w:rsidRPr="0065125A">
        <w:rPr>
          <w:rFonts w:cstheme="minorHAnsi"/>
          <w:lang w:val="en-CA"/>
        </w:rPr>
        <w:t>,</w:t>
      </w:r>
      <w:r w:rsidR="00EF5584" w:rsidRPr="0065125A">
        <w:rPr>
          <w:rFonts w:cstheme="minorHAnsi"/>
          <w:lang w:val="en-CA"/>
        </w:rPr>
        <w:t xml:space="preserve"> sexual orientation, age or mental or physical ability is found on s.5 of the Television Broadcasting Regulations.</w:t>
      </w:r>
      <w:r w:rsidR="00E35037" w:rsidRPr="0065125A">
        <w:rPr>
          <w:rStyle w:val="FootnoteReference"/>
          <w:rFonts w:cstheme="minorHAnsi"/>
          <w:lang w:val="en-CA"/>
        </w:rPr>
        <w:footnoteReference w:id="22"/>
      </w:r>
      <w:r w:rsidR="00674A0D" w:rsidRPr="0065125A">
        <w:rPr>
          <w:rFonts w:cstheme="minorHAnsi"/>
          <w:lang w:val="en-CA"/>
        </w:rPr>
        <w:t xml:space="preserve"> </w:t>
      </w:r>
      <w:r w:rsidR="001C1901" w:rsidRPr="0065125A">
        <w:rPr>
          <w:rFonts w:cstheme="minorHAnsi"/>
          <w:lang w:val="en-CA"/>
        </w:rPr>
        <w:t xml:space="preserve">As a result, CRTC does not directly regulate foreign </w:t>
      </w:r>
      <w:r w:rsidR="00B6005D" w:rsidRPr="0065125A">
        <w:rPr>
          <w:rFonts w:cstheme="minorHAnsi"/>
          <w:lang w:val="en-CA"/>
        </w:rPr>
        <w:t>programming services</w:t>
      </w:r>
      <w:r w:rsidR="00B97A84" w:rsidRPr="0065125A">
        <w:rPr>
          <w:rFonts w:cstheme="minorHAnsi"/>
          <w:lang w:val="en-CA"/>
        </w:rPr>
        <w:t>. Instead</w:t>
      </w:r>
      <w:r w:rsidR="001C1901" w:rsidRPr="0065125A">
        <w:rPr>
          <w:rFonts w:cstheme="minorHAnsi"/>
          <w:lang w:val="en-CA"/>
        </w:rPr>
        <w:t xml:space="preserve">, it has </w:t>
      </w:r>
      <w:r w:rsidR="00B6005D" w:rsidRPr="0065125A">
        <w:rPr>
          <w:rFonts w:cstheme="minorHAnsi"/>
          <w:lang w:val="en-CA"/>
        </w:rPr>
        <w:t xml:space="preserve">discretionary authority </w:t>
      </w:r>
      <w:r w:rsidR="00B97A84" w:rsidRPr="0065125A">
        <w:rPr>
          <w:rFonts w:cstheme="minorHAnsi"/>
          <w:lang w:val="en-CA"/>
        </w:rPr>
        <w:t>over</w:t>
      </w:r>
      <w:r w:rsidR="00B6005D" w:rsidRPr="0065125A">
        <w:rPr>
          <w:rFonts w:cstheme="minorHAnsi"/>
          <w:lang w:val="en-CA"/>
        </w:rPr>
        <w:t xml:space="preserve"> whether any foreign programming service will be on the List. The CRTC can de-List </w:t>
      </w:r>
      <w:r w:rsidR="00CC6A40" w:rsidRPr="0065125A">
        <w:rPr>
          <w:rFonts w:cstheme="minorHAnsi"/>
          <w:lang w:val="en-CA"/>
        </w:rPr>
        <w:t>foreign programming services</w:t>
      </w:r>
      <w:r w:rsidR="00CD1E65" w:rsidRPr="0065125A">
        <w:rPr>
          <w:rFonts w:cstheme="minorHAnsi"/>
          <w:lang w:val="en-CA"/>
        </w:rPr>
        <w:t xml:space="preserve"> if it </w:t>
      </w:r>
      <w:r w:rsidR="00CC6A40" w:rsidRPr="0065125A">
        <w:rPr>
          <w:rFonts w:cstheme="minorHAnsi"/>
          <w:lang w:val="en-CA"/>
        </w:rPr>
        <w:t>decides</w:t>
      </w:r>
      <w:r w:rsidR="00CD1E65" w:rsidRPr="0065125A">
        <w:rPr>
          <w:rFonts w:cstheme="minorHAnsi"/>
          <w:lang w:val="en-CA"/>
        </w:rPr>
        <w:t xml:space="preserve"> that if the foreign service had been Canadian and subject to Canadian laws and regulations</w:t>
      </w:r>
      <w:r w:rsidR="00CC6A40" w:rsidRPr="0065125A">
        <w:rPr>
          <w:rFonts w:cstheme="minorHAnsi"/>
          <w:lang w:val="en-CA"/>
        </w:rPr>
        <w:t>,</w:t>
      </w:r>
      <w:r w:rsidR="00927FAE" w:rsidRPr="0065125A">
        <w:rPr>
          <w:rFonts w:cstheme="minorHAnsi"/>
          <w:lang w:val="en-CA"/>
        </w:rPr>
        <w:t xml:space="preserve"> it would violate those laws and regulations</w:t>
      </w:r>
      <w:r w:rsidR="00CC6A40" w:rsidRPr="0065125A">
        <w:rPr>
          <w:rFonts w:cstheme="minorHAnsi"/>
          <w:lang w:val="en-CA"/>
        </w:rPr>
        <w:t>,</w:t>
      </w:r>
      <w:r w:rsidR="000727A0" w:rsidRPr="0065125A">
        <w:rPr>
          <w:rStyle w:val="FootnoteReference"/>
          <w:rFonts w:cstheme="minorHAnsi"/>
          <w:lang w:val="en-CA"/>
        </w:rPr>
        <w:footnoteReference w:id="23"/>
      </w:r>
      <w:r w:rsidR="00342B67" w:rsidRPr="0065125A">
        <w:rPr>
          <w:rFonts w:cstheme="minorHAnsi"/>
          <w:lang w:val="en-CA"/>
        </w:rPr>
        <w:t xml:space="preserve"> or</w:t>
      </w:r>
      <w:r w:rsidR="00A35765" w:rsidRPr="0065125A">
        <w:rPr>
          <w:rFonts w:cstheme="minorHAnsi"/>
          <w:lang w:val="en-CA"/>
        </w:rPr>
        <w:t xml:space="preserve"> </w:t>
      </w:r>
      <w:r w:rsidR="00CC6A40" w:rsidRPr="0065125A">
        <w:rPr>
          <w:rFonts w:cstheme="minorHAnsi"/>
          <w:lang w:val="en-CA"/>
        </w:rPr>
        <w:t xml:space="preserve">if it determines that </w:t>
      </w:r>
      <w:r w:rsidR="00A35765" w:rsidRPr="0065125A">
        <w:rPr>
          <w:rFonts w:cstheme="minorHAnsi"/>
          <w:lang w:val="en-CA"/>
        </w:rPr>
        <w:t>the distribution of the foreign service is no longer consistent with the policy objectives and no longer in the public interest.</w:t>
      </w:r>
      <w:r w:rsidR="00A35765" w:rsidRPr="0065125A">
        <w:rPr>
          <w:rStyle w:val="FootnoteReference"/>
          <w:rFonts w:cstheme="minorHAnsi"/>
          <w:lang w:val="en-CA"/>
        </w:rPr>
        <w:footnoteReference w:id="24"/>
      </w:r>
    </w:p>
    <w:p w14:paraId="0A002D01" w14:textId="2CF632C7" w:rsidR="00072851" w:rsidRPr="0065125A" w:rsidRDefault="006A48F4" w:rsidP="00B52B48">
      <w:pPr>
        <w:pStyle w:val="Heading2"/>
        <w:rPr>
          <w:lang w:val="en-CA"/>
        </w:rPr>
      </w:pPr>
      <w:bookmarkStart w:id="6" w:name="_Toc101364442"/>
      <w:r w:rsidRPr="0065125A">
        <w:rPr>
          <w:lang w:val="en-CA"/>
        </w:rPr>
        <w:t>Particulars of the CRTC decision:</w:t>
      </w:r>
      <w:bookmarkEnd w:id="6"/>
    </w:p>
    <w:p w14:paraId="01AF2929" w14:textId="75026BA5" w:rsidR="00E16F5D" w:rsidRPr="0065125A" w:rsidRDefault="00086331" w:rsidP="00A03EA8">
      <w:pPr>
        <w:spacing w:line="480" w:lineRule="auto"/>
        <w:ind w:firstLine="720"/>
        <w:rPr>
          <w:rFonts w:cstheme="minorHAnsi"/>
          <w:lang w:val="en-CA"/>
        </w:rPr>
      </w:pPr>
      <w:r w:rsidRPr="0065125A">
        <w:rPr>
          <w:rFonts w:cstheme="minorHAnsi"/>
          <w:lang w:val="en-CA"/>
        </w:rPr>
        <w:t xml:space="preserve">On </w:t>
      </w:r>
      <w:r w:rsidR="006F24C0" w:rsidRPr="0065125A">
        <w:rPr>
          <w:rFonts w:cstheme="minorHAnsi"/>
          <w:lang w:val="en-CA"/>
        </w:rPr>
        <w:t xml:space="preserve">2 March 2022, the Governor in Council sent a request to the CRTC </w:t>
      </w:r>
      <w:r w:rsidR="00986750" w:rsidRPr="0065125A">
        <w:rPr>
          <w:rFonts w:cstheme="minorHAnsi"/>
          <w:lang w:val="en-CA"/>
        </w:rPr>
        <w:t>under</w:t>
      </w:r>
      <w:r w:rsidR="006F24C0" w:rsidRPr="0065125A">
        <w:rPr>
          <w:rFonts w:cstheme="minorHAnsi"/>
          <w:lang w:val="en-CA"/>
        </w:rPr>
        <w:t xml:space="preserve"> s. 15 of the Broadcasting Act that the Commission hold a hearing to determine whether RT</w:t>
      </w:r>
      <w:r w:rsidR="003E259E" w:rsidRPr="0065125A">
        <w:rPr>
          <w:rFonts w:cstheme="minorHAnsi"/>
          <w:lang w:val="en-CA"/>
        </w:rPr>
        <w:t xml:space="preserve"> should be removed from the List and make a decision within </w:t>
      </w:r>
      <w:r w:rsidR="001D0CA8" w:rsidRPr="0065125A">
        <w:rPr>
          <w:rFonts w:cstheme="minorHAnsi"/>
          <w:lang w:val="en-CA"/>
        </w:rPr>
        <w:t>two</w:t>
      </w:r>
      <w:r w:rsidR="003E259E" w:rsidRPr="0065125A">
        <w:rPr>
          <w:rFonts w:cstheme="minorHAnsi"/>
          <w:lang w:val="en-CA"/>
        </w:rPr>
        <w:t xml:space="preserve"> weeks from the date of the </w:t>
      </w:r>
      <w:r w:rsidR="00454FEE" w:rsidRPr="0065125A">
        <w:rPr>
          <w:rFonts w:cstheme="minorHAnsi"/>
          <w:lang w:val="en-CA"/>
        </w:rPr>
        <w:t>request.</w:t>
      </w:r>
      <w:r w:rsidR="00454FEE" w:rsidRPr="0065125A">
        <w:rPr>
          <w:rStyle w:val="FootnoteReference"/>
          <w:rFonts w:cstheme="minorHAnsi"/>
          <w:lang w:val="en-CA"/>
        </w:rPr>
        <w:footnoteReference w:id="25"/>
      </w:r>
      <w:r w:rsidR="00454FEE" w:rsidRPr="0065125A">
        <w:rPr>
          <w:rFonts w:cstheme="minorHAnsi"/>
          <w:lang w:val="en-CA"/>
        </w:rPr>
        <w:t xml:space="preserve"> </w:t>
      </w:r>
      <w:r w:rsidR="00BE37F7" w:rsidRPr="0065125A">
        <w:rPr>
          <w:rFonts w:cstheme="minorHAnsi"/>
          <w:lang w:val="en-CA"/>
        </w:rPr>
        <w:t>S.15 generally gives the Governor in Council the power to request that the CRTC hold hearings or make reports on any matter within the jurisdiction of the CRTC under the Broadcasting Act.</w:t>
      </w:r>
      <w:r w:rsidR="00BE37F7" w:rsidRPr="0065125A">
        <w:rPr>
          <w:rStyle w:val="FootnoteReference"/>
          <w:rFonts w:cstheme="minorHAnsi"/>
          <w:lang w:val="en-CA"/>
        </w:rPr>
        <w:footnoteReference w:id="26"/>
      </w:r>
      <w:r w:rsidR="00A4371F" w:rsidRPr="0065125A">
        <w:rPr>
          <w:rFonts w:cstheme="minorHAnsi"/>
          <w:lang w:val="en-CA"/>
        </w:rPr>
        <w:t xml:space="preserve"> In response, CRTC requested public input</w:t>
      </w:r>
      <w:r w:rsidR="004E39A3" w:rsidRPr="0065125A">
        <w:rPr>
          <w:rFonts w:cstheme="minorHAnsi"/>
          <w:lang w:val="en-CA"/>
        </w:rPr>
        <w:t xml:space="preserve">. Of the 373 interventions it received, 350 of those </w:t>
      </w:r>
      <w:r w:rsidR="001D0CA8" w:rsidRPr="0065125A">
        <w:rPr>
          <w:rFonts w:cstheme="minorHAnsi"/>
          <w:lang w:val="en-CA"/>
        </w:rPr>
        <w:t>supported</w:t>
      </w:r>
      <w:r w:rsidR="004E39A3" w:rsidRPr="0065125A">
        <w:rPr>
          <w:rFonts w:cstheme="minorHAnsi"/>
          <w:lang w:val="en-CA"/>
        </w:rPr>
        <w:t xml:space="preserve"> removing RT from the List. </w:t>
      </w:r>
    </w:p>
    <w:p w14:paraId="29F06EF4" w14:textId="44923193" w:rsidR="006A48F4" w:rsidRPr="0065125A" w:rsidRDefault="00E16F5D" w:rsidP="00A03EA8">
      <w:pPr>
        <w:spacing w:line="480" w:lineRule="auto"/>
        <w:ind w:firstLine="720"/>
        <w:rPr>
          <w:rFonts w:cstheme="minorHAnsi"/>
          <w:lang w:val="en-CA"/>
        </w:rPr>
      </w:pPr>
      <w:r w:rsidRPr="0065125A">
        <w:rPr>
          <w:rFonts w:cstheme="minorHAnsi"/>
          <w:lang w:val="en-CA"/>
        </w:rPr>
        <w:t xml:space="preserve">The BDUs were made </w:t>
      </w:r>
      <w:r w:rsidR="001D0CA8" w:rsidRPr="0065125A">
        <w:rPr>
          <w:rFonts w:cstheme="minorHAnsi"/>
          <w:lang w:val="en-CA"/>
        </w:rPr>
        <w:t xml:space="preserve">a </w:t>
      </w:r>
      <w:r w:rsidRPr="0065125A">
        <w:rPr>
          <w:rFonts w:cstheme="minorHAnsi"/>
          <w:lang w:val="en-CA"/>
        </w:rPr>
        <w:t xml:space="preserve">party to the hearing </w:t>
      </w:r>
      <w:r w:rsidR="00B74727" w:rsidRPr="0065125A">
        <w:rPr>
          <w:rFonts w:cstheme="minorHAnsi"/>
          <w:lang w:val="en-CA"/>
        </w:rPr>
        <w:t>because</w:t>
      </w:r>
      <w:r w:rsidRPr="0065125A">
        <w:rPr>
          <w:rFonts w:cstheme="minorHAnsi"/>
          <w:lang w:val="en-CA"/>
        </w:rPr>
        <w:t xml:space="preserve"> if RT were to be de-Listed, it would </w:t>
      </w:r>
      <w:r w:rsidR="00B74727" w:rsidRPr="0065125A">
        <w:rPr>
          <w:rFonts w:cstheme="minorHAnsi"/>
          <w:lang w:val="en-CA"/>
        </w:rPr>
        <w:t>affect</w:t>
      </w:r>
      <w:r w:rsidRPr="0065125A">
        <w:rPr>
          <w:rFonts w:cstheme="minorHAnsi"/>
          <w:lang w:val="en-CA"/>
        </w:rPr>
        <w:t xml:space="preserve"> their ability to carry </w:t>
      </w:r>
      <w:r w:rsidR="00621E5B" w:rsidRPr="0065125A">
        <w:rPr>
          <w:rFonts w:cstheme="minorHAnsi"/>
          <w:lang w:val="en-CA"/>
        </w:rPr>
        <w:t xml:space="preserve">RT’s programming services. </w:t>
      </w:r>
      <w:r w:rsidR="00424882" w:rsidRPr="0065125A">
        <w:rPr>
          <w:rFonts w:cstheme="minorHAnsi"/>
          <w:lang w:val="en-CA"/>
        </w:rPr>
        <w:t xml:space="preserve">The </w:t>
      </w:r>
      <w:r w:rsidR="00EB0FED" w:rsidRPr="0065125A">
        <w:rPr>
          <w:rFonts w:cstheme="minorHAnsi"/>
          <w:lang w:val="en-CA"/>
        </w:rPr>
        <w:t>BDUs all supported delisting RT on the basis that Russia was subject to sanction under the Special Economic Measures Regulations</w:t>
      </w:r>
      <w:r w:rsidR="0062466C" w:rsidRPr="0065125A">
        <w:rPr>
          <w:rFonts w:cstheme="minorHAnsi"/>
          <w:lang w:val="en-CA"/>
        </w:rPr>
        <w:t>, that RT was a conduit of systematic information manipulation and disinformation by the Russian government</w:t>
      </w:r>
      <w:r w:rsidR="00693921" w:rsidRPr="0065125A">
        <w:rPr>
          <w:rFonts w:cstheme="minorHAnsi"/>
          <w:lang w:val="en-CA"/>
        </w:rPr>
        <w:t xml:space="preserve">, that RT was a tool in the assault on Ukraine, and that it was a significant indirect threat to domestic public order and </w:t>
      </w:r>
      <w:r w:rsidR="00693921" w:rsidRPr="0065125A">
        <w:rPr>
          <w:rFonts w:cstheme="minorHAnsi"/>
          <w:lang w:val="en-CA"/>
        </w:rPr>
        <w:lastRenderedPageBreak/>
        <w:t>security.</w:t>
      </w:r>
      <w:r w:rsidR="00693921" w:rsidRPr="0065125A">
        <w:rPr>
          <w:rStyle w:val="FootnoteReference"/>
          <w:rFonts w:cstheme="minorHAnsi"/>
          <w:lang w:val="en-CA"/>
        </w:rPr>
        <w:footnoteReference w:id="27"/>
      </w:r>
      <w:r w:rsidR="006F093D" w:rsidRPr="0065125A">
        <w:rPr>
          <w:rFonts w:cstheme="minorHAnsi"/>
          <w:lang w:val="en-CA"/>
        </w:rPr>
        <w:t xml:space="preserve"> </w:t>
      </w:r>
      <w:r w:rsidR="00B74727" w:rsidRPr="0065125A">
        <w:rPr>
          <w:rFonts w:cstheme="minorHAnsi"/>
          <w:lang w:val="en-CA"/>
        </w:rPr>
        <w:t>The</w:t>
      </w:r>
      <w:r w:rsidR="006F093D" w:rsidRPr="0065125A">
        <w:rPr>
          <w:rFonts w:cstheme="minorHAnsi"/>
          <w:lang w:val="en-CA"/>
        </w:rPr>
        <w:t xml:space="preserve"> BDUs were generally of the opinion that </w:t>
      </w:r>
      <w:r w:rsidR="00ED78C8" w:rsidRPr="0065125A">
        <w:rPr>
          <w:rFonts w:cstheme="minorHAnsi"/>
          <w:lang w:val="en-CA"/>
        </w:rPr>
        <w:t xml:space="preserve">where a foreign state is subject to economic sanctions in Canada, that is enough grounds </w:t>
      </w:r>
      <w:r w:rsidR="00121957" w:rsidRPr="0065125A">
        <w:rPr>
          <w:rFonts w:cstheme="minorHAnsi"/>
          <w:lang w:val="en-CA"/>
        </w:rPr>
        <w:t>to censor th</w:t>
      </w:r>
      <w:r w:rsidR="00B67793" w:rsidRPr="0065125A">
        <w:rPr>
          <w:rFonts w:cstheme="minorHAnsi"/>
          <w:lang w:val="en-CA"/>
        </w:rPr>
        <w:t>e state-owned press from that country</w:t>
      </w:r>
      <w:r w:rsidR="00121957" w:rsidRPr="0065125A">
        <w:rPr>
          <w:rFonts w:cstheme="minorHAnsi"/>
          <w:lang w:val="en-CA"/>
        </w:rPr>
        <w:t>.</w:t>
      </w:r>
      <w:r w:rsidR="00410FEA" w:rsidRPr="0065125A">
        <w:rPr>
          <w:rFonts w:cstheme="minorHAnsi"/>
          <w:lang w:val="en-CA"/>
        </w:rPr>
        <w:t xml:space="preserve"> The</w:t>
      </w:r>
      <w:r w:rsidR="00405DB9" w:rsidRPr="0065125A">
        <w:rPr>
          <w:rFonts w:cstheme="minorHAnsi"/>
          <w:lang w:val="en-CA"/>
        </w:rPr>
        <w:t xml:space="preserve">re was also concern that de-Listing was not a comprehensive solution to the </w:t>
      </w:r>
      <w:r w:rsidR="004B0C06" w:rsidRPr="0065125A">
        <w:rPr>
          <w:rFonts w:cstheme="minorHAnsi"/>
          <w:lang w:val="en-CA"/>
        </w:rPr>
        <w:t xml:space="preserve">information manipulation and public unrest dangers caused by RT because RT’s content would remain accessible over the internet, which </w:t>
      </w:r>
      <w:r w:rsidR="00A55F06" w:rsidRPr="0065125A">
        <w:rPr>
          <w:rFonts w:cstheme="minorHAnsi"/>
          <w:lang w:val="en-CA"/>
        </w:rPr>
        <w:t>the CRTC does not regulate</w:t>
      </w:r>
      <w:r w:rsidR="00110B2C" w:rsidRPr="0065125A">
        <w:rPr>
          <w:rFonts w:cstheme="minorHAnsi"/>
          <w:lang w:val="en-CA"/>
        </w:rPr>
        <w:t>.</w:t>
      </w:r>
      <w:r w:rsidR="003D74F4" w:rsidRPr="0065125A">
        <w:rPr>
          <w:rFonts w:cstheme="minorHAnsi"/>
          <w:lang w:val="en-CA"/>
        </w:rPr>
        <w:t xml:space="preserve"> </w:t>
      </w:r>
      <w:r w:rsidR="009A6FB0" w:rsidRPr="0065125A">
        <w:rPr>
          <w:rFonts w:cstheme="minorHAnsi"/>
          <w:lang w:val="en-CA"/>
        </w:rPr>
        <w:t>In addition to the BDUs</w:t>
      </w:r>
      <w:r w:rsidR="003335A3" w:rsidRPr="0065125A">
        <w:rPr>
          <w:rFonts w:cstheme="minorHAnsi"/>
          <w:lang w:val="en-CA"/>
        </w:rPr>
        <w:t>,</w:t>
      </w:r>
      <w:r w:rsidR="009A6FB0" w:rsidRPr="0065125A">
        <w:rPr>
          <w:rFonts w:cstheme="minorHAnsi"/>
          <w:lang w:val="en-CA"/>
        </w:rPr>
        <w:t xml:space="preserve"> numerous civil society groups and individuals </w:t>
      </w:r>
      <w:r w:rsidR="00812F12" w:rsidRPr="0065125A">
        <w:rPr>
          <w:rFonts w:cstheme="minorHAnsi"/>
          <w:lang w:val="en-CA"/>
        </w:rPr>
        <w:t xml:space="preserve">expressed their concerns that RT regularly promoted hatred against </w:t>
      </w:r>
      <w:r w:rsidR="005F241C" w:rsidRPr="0065125A">
        <w:rPr>
          <w:rFonts w:cstheme="minorHAnsi"/>
          <w:lang w:val="en-CA"/>
        </w:rPr>
        <w:t xml:space="preserve">opponents of the Russian government </w:t>
      </w:r>
      <w:r w:rsidR="00126662" w:rsidRPr="0065125A">
        <w:rPr>
          <w:rFonts w:cstheme="minorHAnsi"/>
          <w:lang w:val="en-CA"/>
        </w:rPr>
        <w:t xml:space="preserve">and </w:t>
      </w:r>
      <w:r w:rsidR="005F241C" w:rsidRPr="0065125A">
        <w:rPr>
          <w:rFonts w:cstheme="minorHAnsi"/>
          <w:lang w:val="en-CA"/>
        </w:rPr>
        <w:t>the LGBTQ community</w:t>
      </w:r>
      <w:r w:rsidR="00126662" w:rsidRPr="0065125A">
        <w:rPr>
          <w:rFonts w:cstheme="minorHAnsi"/>
          <w:lang w:val="en-CA"/>
        </w:rPr>
        <w:t>,</w:t>
      </w:r>
      <w:r w:rsidR="005F241C" w:rsidRPr="0065125A">
        <w:rPr>
          <w:rFonts w:cstheme="minorHAnsi"/>
          <w:lang w:val="en-CA"/>
        </w:rPr>
        <w:t xml:space="preserve"> and produced biased programming and misinformation.</w:t>
      </w:r>
      <w:r w:rsidR="00AC1CAB" w:rsidRPr="0065125A">
        <w:rPr>
          <w:rStyle w:val="FootnoteReference"/>
          <w:rFonts w:cstheme="minorHAnsi"/>
          <w:lang w:val="en-CA"/>
        </w:rPr>
        <w:footnoteReference w:id="28"/>
      </w:r>
      <w:r w:rsidR="00AC1CAB" w:rsidRPr="0065125A">
        <w:rPr>
          <w:rFonts w:cstheme="minorHAnsi"/>
          <w:lang w:val="en-CA"/>
        </w:rPr>
        <w:t xml:space="preserve"> </w:t>
      </w:r>
    </w:p>
    <w:p w14:paraId="0AF7C47C" w14:textId="71708958" w:rsidR="00080E17" w:rsidRPr="0065125A" w:rsidRDefault="00080E17" w:rsidP="00B52B48">
      <w:pPr>
        <w:pStyle w:val="Heading3"/>
        <w:spacing w:after="240"/>
        <w:rPr>
          <w:lang w:val="en-CA"/>
        </w:rPr>
      </w:pPr>
      <w:bookmarkStart w:id="7" w:name="_Toc101364443"/>
      <w:r w:rsidRPr="0065125A">
        <w:rPr>
          <w:lang w:val="en-CA"/>
        </w:rPr>
        <w:t xml:space="preserve">Abusive </w:t>
      </w:r>
      <w:r w:rsidR="000F6B6E">
        <w:rPr>
          <w:lang w:val="en-CA"/>
        </w:rPr>
        <w:t>c</w:t>
      </w:r>
      <w:r w:rsidRPr="0065125A">
        <w:rPr>
          <w:lang w:val="en-CA"/>
        </w:rPr>
        <w:t>omment</w:t>
      </w:r>
      <w:bookmarkEnd w:id="7"/>
    </w:p>
    <w:p w14:paraId="6E26DE72" w14:textId="3B5B02D1" w:rsidR="00745C09" w:rsidRPr="0065125A" w:rsidRDefault="00126662" w:rsidP="00A03EA8">
      <w:pPr>
        <w:spacing w:line="480" w:lineRule="auto"/>
        <w:ind w:firstLine="720"/>
        <w:rPr>
          <w:rFonts w:cstheme="minorHAnsi"/>
          <w:lang w:val="en-CA"/>
        </w:rPr>
      </w:pPr>
      <w:r w:rsidRPr="0065125A">
        <w:rPr>
          <w:rFonts w:cstheme="minorHAnsi"/>
          <w:lang w:val="en-CA"/>
        </w:rPr>
        <w:t>The CRTC was concerned that RT promoted hatred or contempt towards Ukrainians, Canadians, and the LGBTQ community in the abusive comment analysis</w:t>
      </w:r>
      <w:r w:rsidR="008C1609" w:rsidRPr="0065125A">
        <w:rPr>
          <w:rFonts w:cstheme="minorHAnsi"/>
          <w:lang w:val="en-CA"/>
        </w:rPr>
        <w:t>.</w:t>
      </w:r>
      <w:r w:rsidR="00550083" w:rsidRPr="0065125A">
        <w:rPr>
          <w:rStyle w:val="FootnoteReference"/>
          <w:rFonts w:cstheme="minorHAnsi"/>
          <w:lang w:val="en-CA"/>
        </w:rPr>
        <w:footnoteReference w:id="29"/>
      </w:r>
      <w:r w:rsidR="008C1609" w:rsidRPr="0065125A">
        <w:rPr>
          <w:rFonts w:cstheme="minorHAnsi"/>
          <w:lang w:val="en-CA"/>
        </w:rPr>
        <w:t xml:space="preserve"> However</w:t>
      </w:r>
      <w:r w:rsidR="00297692" w:rsidRPr="0065125A">
        <w:rPr>
          <w:rFonts w:cstheme="minorHAnsi"/>
          <w:lang w:val="en-CA"/>
        </w:rPr>
        <w:t>,</w:t>
      </w:r>
      <w:r w:rsidR="008C1609" w:rsidRPr="0065125A">
        <w:rPr>
          <w:rFonts w:cstheme="minorHAnsi"/>
          <w:lang w:val="en-CA"/>
        </w:rPr>
        <w:t xml:space="preserve"> it generally relied on </w:t>
      </w:r>
      <w:r w:rsidR="00297692" w:rsidRPr="0065125A">
        <w:rPr>
          <w:rFonts w:cstheme="minorHAnsi"/>
          <w:lang w:val="en-CA"/>
        </w:rPr>
        <w:t xml:space="preserve">‘Russian-state broadcasters’ programming, </w:t>
      </w:r>
      <w:r w:rsidR="008C1609" w:rsidRPr="0065125A">
        <w:rPr>
          <w:rFonts w:cstheme="minorHAnsi"/>
          <w:lang w:val="en-CA"/>
        </w:rPr>
        <w:t>which showed</w:t>
      </w:r>
      <w:r w:rsidR="00FE45E6" w:rsidRPr="0065125A">
        <w:rPr>
          <w:rFonts w:cstheme="minorHAnsi"/>
          <w:lang w:val="en-CA"/>
        </w:rPr>
        <w:t xml:space="preserve"> ‘Canada, NATO, and the West’ as the enemies without necessarily citing any proof that RT did the same.</w:t>
      </w:r>
      <w:r w:rsidR="00EE2F06" w:rsidRPr="0065125A">
        <w:rPr>
          <w:rFonts w:cstheme="minorHAnsi"/>
          <w:lang w:val="en-CA"/>
        </w:rPr>
        <w:t xml:space="preserve"> CRTC found that Russian-state media generally </w:t>
      </w:r>
      <w:r w:rsidR="00787972" w:rsidRPr="0065125A">
        <w:rPr>
          <w:rFonts w:cstheme="minorHAnsi"/>
          <w:lang w:val="en-CA"/>
        </w:rPr>
        <w:t xml:space="preserve">spread hate against Ukraine and dehumanized Ukrainians. As evidence, </w:t>
      </w:r>
      <w:r w:rsidR="00F842B7" w:rsidRPr="0065125A">
        <w:rPr>
          <w:rFonts w:cstheme="minorHAnsi"/>
          <w:lang w:val="en-CA"/>
        </w:rPr>
        <w:t>CRTC</w:t>
      </w:r>
      <w:r w:rsidR="00787972" w:rsidRPr="0065125A">
        <w:rPr>
          <w:rFonts w:cstheme="minorHAnsi"/>
          <w:lang w:val="en-CA"/>
        </w:rPr>
        <w:t xml:space="preserve"> cites the high rate of support </w:t>
      </w:r>
      <w:r w:rsidR="00B47324" w:rsidRPr="0065125A">
        <w:rPr>
          <w:rFonts w:cstheme="minorHAnsi"/>
          <w:lang w:val="en-CA"/>
        </w:rPr>
        <w:t>amongst</w:t>
      </w:r>
      <w:r w:rsidR="00787972" w:rsidRPr="0065125A">
        <w:rPr>
          <w:rFonts w:cstheme="minorHAnsi"/>
          <w:lang w:val="en-CA"/>
        </w:rPr>
        <w:t xml:space="preserve"> Russians for</w:t>
      </w:r>
      <w:r w:rsidR="00B47324" w:rsidRPr="0065125A">
        <w:rPr>
          <w:rFonts w:cstheme="minorHAnsi"/>
          <w:lang w:val="en-CA"/>
        </w:rPr>
        <w:t xml:space="preserve"> the Russian aggression</w:t>
      </w:r>
      <w:r w:rsidR="00787972" w:rsidRPr="0065125A">
        <w:rPr>
          <w:rFonts w:cstheme="minorHAnsi"/>
          <w:lang w:val="en-CA"/>
        </w:rPr>
        <w:t xml:space="preserve"> against Ukraine and news reports that Russian family members of Ukrainians generally believed the Russian state-media narrative that </w:t>
      </w:r>
      <w:r w:rsidR="00907D85" w:rsidRPr="0065125A">
        <w:rPr>
          <w:rFonts w:cstheme="minorHAnsi"/>
          <w:lang w:val="en-CA"/>
        </w:rPr>
        <w:t xml:space="preserve">Russia was fighting a rogue Nazi regime in Ukraine. </w:t>
      </w:r>
      <w:r w:rsidR="00715E0D" w:rsidRPr="0065125A">
        <w:rPr>
          <w:rFonts w:cstheme="minorHAnsi"/>
          <w:lang w:val="en-CA"/>
        </w:rPr>
        <w:t>CRTC concluded that RT also historically targeted the LGBTQ communities based on historical evidence</w:t>
      </w:r>
      <w:r w:rsidR="00AF5128" w:rsidRPr="0065125A">
        <w:rPr>
          <w:rFonts w:cstheme="minorHAnsi"/>
          <w:lang w:val="en-CA"/>
        </w:rPr>
        <w:t>.</w:t>
      </w:r>
      <w:r w:rsidR="00740FA8" w:rsidRPr="0065125A">
        <w:rPr>
          <w:rFonts w:cstheme="minorHAnsi"/>
          <w:lang w:val="en-CA"/>
        </w:rPr>
        <w:t xml:space="preserve"> Based on evidence </w:t>
      </w:r>
      <w:r w:rsidR="00291737" w:rsidRPr="0065125A">
        <w:rPr>
          <w:rFonts w:cstheme="minorHAnsi"/>
          <w:lang w:val="en-CA"/>
        </w:rPr>
        <w:t xml:space="preserve">from </w:t>
      </w:r>
      <w:r w:rsidR="00740FA8" w:rsidRPr="0065125A">
        <w:rPr>
          <w:rFonts w:cstheme="minorHAnsi"/>
          <w:lang w:val="en-CA"/>
        </w:rPr>
        <w:t xml:space="preserve">RT programming and </w:t>
      </w:r>
      <w:r w:rsidR="00544857" w:rsidRPr="0065125A">
        <w:rPr>
          <w:rFonts w:cstheme="minorHAnsi"/>
          <w:lang w:val="en-CA"/>
        </w:rPr>
        <w:t>programming from other Russian state media</w:t>
      </w:r>
      <w:r w:rsidR="0077248F" w:rsidRPr="0065125A">
        <w:rPr>
          <w:rStyle w:val="FootnoteReference"/>
          <w:rFonts w:cstheme="minorHAnsi"/>
          <w:lang w:val="en-CA"/>
        </w:rPr>
        <w:footnoteReference w:id="30"/>
      </w:r>
      <w:r w:rsidR="00544857" w:rsidRPr="0065125A">
        <w:rPr>
          <w:rFonts w:cstheme="minorHAnsi"/>
          <w:lang w:val="en-CA"/>
        </w:rPr>
        <w:t xml:space="preserve">, CRTC concluded that RT programming </w:t>
      </w:r>
      <w:r w:rsidR="00F467F1" w:rsidRPr="0065125A">
        <w:rPr>
          <w:rFonts w:cstheme="minorHAnsi"/>
          <w:lang w:val="en-CA"/>
        </w:rPr>
        <w:t xml:space="preserve">would constitute abusive </w:t>
      </w:r>
      <w:r w:rsidR="00715E0D" w:rsidRPr="0065125A">
        <w:rPr>
          <w:rFonts w:cstheme="minorHAnsi"/>
          <w:lang w:val="en-CA"/>
        </w:rPr>
        <w:t>comments</w:t>
      </w:r>
      <w:r w:rsidR="00F467F1" w:rsidRPr="0065125A">
        <w:rPr>
          <w:rFonts w:cstheme="minorHAnsi"/>
          <w:lang w:val="en-CA"/>
        </w:rPr>
        <w:t xml:space="preserve">. </w:t>
      </w:r>
    </w:p>
    <w:p w14:paraId="158493BE" w14:textId="62891CFD" w:rsidR="00080E17" w:rsidRPr="0065125A" w:rsidRDefault="00080E17" w:rsidP="00FF53DD">
      <w:pPr>
        <w:pStyle w:val="Heading3"/>
        <w:rPr>
          <w:lang w:val="en-CA"/>
        </w:rPr>
      </w:pPr>
      <w:bookmarkStart w:id="8" w:name="_Toc101364444"/>
      <w:r w:rsidRPr="0065125A">
        <w:rPr>
          <w:lang w:val="en-CA"/>
        </w:rPr>
        <w:t>Furthering the general policy goals under s.3</w:t>
      </w:r>
      <w:bookmarkEnd w:id="8"/>
    </w:p>
    <w:p w14:paraId="2C76863F" w14:textId="2614B87F" w:rsidR="00467E92" w:rsidRPr="0065125A" w:rsidRDefault="00B42913" w:rsidP="00467E92">
      <w:pPr>
        <w:spacing w:line="480" w:lineRule="auto"/>
        <w:rPr>
          <w:rFonts w:cstheme="minorHAnsi"/>
          <w:lang w:val="en-CA"/>
        </w:rPr>
      </w:pPr>
      <w:r w:rsidRPr="0065125A">
        <w:rPr>
          <w:rFonts w:cstheme="minorHAnsi"/>
          <w:lang w:val="en-CA"/>
        </w:rPr>
        <w:lastRenderedPageBreak/>
        <w:tab/>
        <w:t xml:space="preserve">CRTC also generally considered whether </w:t>
      </w:r>
      <w:r w:rsidR="00621D82" w:rsidRPr="0065125A">
        <w:rPr>
          <w:rFonts w:cstheme="minorHAnsi"/>
          <w:lang w:val="en-CA"/>
        </w:rPr>
        <w:t xml:space="preserve">de-Listing </w:t>
      </w:r>
      <w:r w:rsidR="00F578C4" w:rsidRPr="0065125A">
        <w:rPr>
          <w:rFonts w:cstheme="minorHAnsi"/>
          <w:lang w:val="en-CA"/>
        </w:rPr>
        <w:t>RT would further the policy goals its tasked to protect under s.3 of the Broadcasting Act.</w:t>
      </w:r>
      <w:r w:rsidR="00314623" w:rsidRPr="0065125A">
        <w:rPr>
          <w:rFonts w:cstheme="minorHAnsi"/>
          <w:lang w:val="en-CA"/>
        </w:rPr>
        <w:t xml:space="preserve"> Under this leg of the decision, the CRTC looked at the steps taken by other bodies of the Canadian government</w:t>
      </w:r>
      <w:r w:rsidR="005D3EA3" w:rsidRPr="0065125A">
        <w:rPr>
          <w:rFonts w:cstheme="minorHAnsi"/>
          <w:lang w:val="en-CA"/>
        </w:rPr>
        <w:t xml:space="preserve"> and</w:t>
      </w:r>
      <w:r w:rsidR="008130CD" w:rsidRPr="0065125A">
        <w:rPr>
          <w:rFonts w:cstheme="minorHAnsi"/>
          <w:lang w:val="en-CA"/>
        </w:rPr>
        <w:t xml:space="preserve"> the </w:t>
      </w:r>
      <w:r w:rsidR="005D3EA3" w:rsidRPr="0065125A">
        <w:rPr>
          <w:rFonts w:cstheme="minorHAnsi"/>
          <w:lang w:val="en-CA"/>
        </w:rPr>
        <w:t>actions</w:t>
      </w:r>
      <w:r w:rsidR="008130CD" w:rsidRPr="0065125A">
        <w:rPr>
          <w:rFonts w:cstheme="minorHAnsi"/>
          <w:lang w:val="en-CA"/>
        </w:rPr>
        <w:t xml:space="preserve"> taken by other Western jurisdictions.</w:t>
      </w:r>
      <w:r w:rsidR="005B4A99" w:rsidRPr="0065125A">
        <w:rPr>
          <w:rFonts w:cstheme="minorHAnsi"/>
          <w:lang w:val="en-CA"/>
        </w:rPr>
        <w:t xml:space="preserve"> CRTC agreed with the </w:t>
      </w:r>
      <w:r w:rsidR="005D3EA3" w:rsidRPr="0065125A">
        <w:rPr>
          <w:rFonts w:cstheme="minorHAnsi"/>
          <w:lang w:val="en-CA"/>
        </w:rPr>
        <w:t>BDU’s</w:t>
      </w:r>
      <w:r w:rsidR="005B4A99" w:rsidRPr="0065125A">
        <w:rPr>
          <w:rFonts w:cstheme="minorHAnsi"/>
          <w:lang w:val="en-CA"/>
        </w:rPr>
        <w:t xml:space="preserve"> suggestion that whether the Canadian government has sanctioned </w:t>
      </w:r>
      <w:r w:rsidR="00595BA4" w:rsidRPr="0065125A">
        <w:rPr>
          <w:rFonts w:cstheme="minorHAnsi"/>
          <w:lang w:val="en-CA"/>
        </w:rPr>
        <w:t>the Russian state and individuals involved in directing RT is a relevant factor.</w:t>
      </w:r>
      <w:r w:rsidR="00595BA4" w:rsidRPr="0065125A">
        <w:rPr>
          <w:rStyle w:val="FootnoteReference"/>
          <w:rFonts w:cstheme="minorHAnsi"/>
          <w:lang w:val="en-CA"/>
        </w:rPr>
        <w:footnoteReference w:id="31"/>
      </w:r>
      <w:r w:rsidR="00B1647E" w:rsidRPr="0065125A">
        <w:rPr>
          <w:rFonts w:cstheme="minorHAnsi"/>
          <w:lang w:val="en-CA"/>
        </w:rPr>
        <w:t xml:space="preserve"> </w:t>
      </w:r>
      <w:r w:rsidR="00D74F2E" w:rsidRPr="0065125A">
        <w:rPr>
          <w:rFonts w:cstheme="minorHAnsi"/>
          <w:lang w:val="en-CA"/>
        </w:rPr>
        <w:t xml:space="preserve">CRTC </w:t>
      </w:r>
      <w:r w:rsidR="00703C0D" w:rsidRPr="0065125A">
        <w:rPr>
          <w:rFonts w:cstheme="minorHAnsi"/>
          <w:lang w:val="en-CA"/>
        </w:rPr>
        <w:t>took</w:t>
      </w:r>
      <w:r w:rsidR="00D74F2E" w:rsidRPr="0065125A">
        <w:rPr>
          <w:rFonts w:cstheme="minorHAnsi"/>
          <w:lang w:val="en-CA"/>
        </w:rPr>
        <w:t xml:space="preserve"> notice that </w:t>
      </w:r>
      <w:r w:rsidR="005D3EA3" w:rsidRPr="0065125A">
        <w:rPr>
          <w:rFonts w:cstheme="minorHAnsi"/>
          <w:lang w:val="en-CA"/>
        </w:rPr>
        <w:t>Canada has sanctioned Russia generally and</w:t>
      </w:r>
      <w:r w:rsidR="00D5155F" w:rsidRPr="0065125A">
        <w:rPr>
          <w:rFonts w:cstheme="minorHAnsi"/>
          <w:lang w:val="en-CA"/>
        </w:rPr>
        <w:t xml:space="preserve"> targeted RT’s editor-in-chief in particular as a central figure of Russian propaganda</w:t>
      </w:r>
      <w:r w:rsidR="00A53FC5" w:rsidRPr="0065125A">
        <w:rPr>
          <w:rFonts w:cstheme="minorHAnsi"/>
          <w:lang w:val="en-CA"/>
        </w:rPr>
        <w:t xml:space="preserve">. CRTC </w:t>
      </w:r>
      <w:r w:rsidR="00C85F63" w:rsidRPr="0065125A">
        <w:rPr>
          <w:rFonts w:cstheme="minorHAnsi"/>
          <w:lang w:val="en-CA"/>
        </w:rPr>
        <w:t xml:space="preserve">also </w:t>
      </w:r>
      <w:r w:rsidR="00D236A2" w:rsidRPr="0065125A">
        <w:rPr>
          <w:rFonts w:cstheme="minorHAnsi"/>
          <w:lang w:val="en-CA"/>
        </w:rPr>
        <w:t>cited with approval</w:t>
      </w:r>
      <w:r w:rsidR="00C85F63" w:rsidRPr="0065125A">
        <w:rPr>
          <w:rFonts w:cstheme="minorHAnsi"/>
          <w:lang w:val="en-CA"/>
        </w:rPr>
        <w:t xml:space="preserve"> </w:t>
      </w:r>
      <w:r w:rsidR="00D236A2" w:rsidRPr="0065125A">
        <w:rPr>
          <w:rFonts w:cstheme="minorHAnsi"/>
          <w:lang w:val="en-CA"/>
        </w:rPr>
        <w:t xml:space="preserve">the </w:t>
      </w:r>
      <w:r w:rsidR="000D25C9" w:rsidRPr="0065125A">
        <w:rPr>
          <w:rFonts w:cstheme="minorHAnsi"/>
          <w:lang w:val="en-CA"/>
        </w:rPr>
        <w:t>EU ban</w:t>
      </w:r>
      <w:r w:rsidR="00D236A2" w:rsidRPr="0065125A">
        <w:rPr>
          <w:rFonts w:cstheme="minorHAnsi"/>
          <w:lang w:val="en-CA"/>
        </w:rPr>
        <w:t xml:space="preserve"> on</w:t>
      </w:r>
      <w:r w:rsidR="000D25C9" w:rsidRPr="0065125A">
        <w:rPr>
          <w:rFonts w:cstheme="minorHAnsi"/>
          <w:lang w:val="en-CA"/>
        </w:rPr>
        <w:t xml:space="preserve"> R</w:t>
      </w:r>
      <w:r w:rsidR="00703C0D" w:rsidRPr="0065125A">
        <w:rPr>
          <w:rFonts w:cstheme="minorHAnsi"/>
          <w:lang w:val="en-CA"/>
        </w:rPr>
        <w:t>T</w:t>
      </w:r>
      <w:r w:rsidR="000D25C9" w:rsidRPr="0065125A">
        <w:rPr>
          <w:rFonts w:cstheme="minorHAnsi"/>
          <w:lang w:val="en-CA"/>
        </w:rPr>
        <w:t xml:space="preserve"> </w:t>
      </w:r>
      <w:r w:rsidR="00654CB5" w:rsidRPr="0065125A">
        <w:rPr>
          <w:rFonts w:cstheme="minorHAnsi"/>
          <w:lang w:val="en-CA"/>
        </w:rPr>
        <w:t>based on</w:t>
      </w:r>
      <w:r w:rsidR="000D25C9" w:rsidRPr="0065125A">
        <w:rPr>
          <w:rFonts w:cstheme="minorHAnsi"/>
          <w:lang w:val="en-CA"/>
        </w:rPr>
        <w:t xml:space="preserve"> </w:t>
      </w:r>
      <w:r w:rsidR="00D236A2" w:rsidRPr="0065125A">
        <w:rPr>
          <w:rFonts w:cstheme="minorHAnsi"/>
          <w:lang w:val="en-CA"/>
        </w:rPr>
        <w:t xml:space="preserve">RT </w:t>
      </w:r>
      <w:r w:rsidR="000D25C9" w:rsidRPr="0065125A">
        <w:rPr>
          <w:rFonts w:cstheme="minorHAnsi"/>
          <w:lang w:val="en-CA"/>
        </w:rPr>
        <w:t xml:space="preserve">being a </w:t>
      </w:r>
      <w:r w:rsidR="003558BC" w:rsidRPr="0065125A">
        <w:rPr>
          <w:rFonts w:cstheme="minorHAnsi"/>
          <w:lang w:val="en-CA"/>
        </w:rPr>
        <w:t>conduit of the Russia</w:t>
      </w:r>
      <w:r w:rsidR="00D236A2" w:rsidRPr="0065125A">
        <w:rPr>
          <w:rFonts w:cstheme="minorHAnsi"/>
          <w:lang w:val="en-CA"/>
        </w:rPr>
        <w:t>n</w:t>
      </w:r>
      <w:r w:rsidR="003558BC" w:rsidRPr="0065125A">
        <w:rPr>
          <w:rFonts w:cstheme="minorHAnsi"/>
          <w:lang w:val="en-CA"/>
        </w:rPr>
        <w:t xml:space="preserve"> strategy of </w:t>
      </w:r>
      <w:r w:rsidR="00654CB5" w:rsidRPr="0065125A">
        <w:rPr>
          <w:rFonts w:cstheme="minorHAnsi"/>
          <w:lang w:val="en-CA"/>
        </w:rPr>
        <w:t>destabilizing</w:t>
      </w:r>
      <w:r w:rsidR="003558BC" w:rsidRPr="0065125A">
        <w:rPr>
          <w:rFonts w:cstheme="minorHAnsi"/>
          <w:lang w:val="en-CA"/>
        </w:rPr>
        <w:t xml:space="preserve"> other countries through </w:t>
      </w:r>
      <w:r w:rsidR="00890D86" w:rsidRPr="0065125A">
        <w:rPr>
          <w:rFonts w:cstheme="minorHAnsi"/>
          <w:lang w:val="en-CA"/>
        </w:rPr>
        <w:t xml:space="preserve">a systematic campaign of international disinformation, information manipulation </w:t>
      </w:r>
      <w:r w:rsidR="00D946D7" w:rsidRPr="0065125A">
        <w:rPr>
          <w:rFonts w:cstheme="minorHAnsi"/>
          <w:lang w:val="en-CA"/>
        </w:rPr>
        <w:t>and distortion of facts</w:t>
      </w:r>
      <w:r w:rsidR="00906AEA" w:rsidRPr="0065125A">
        <w:rPr>
          <w:rFonts w:cstheme="minorHAnsi"/>
          <w:lang w:val="en-CA"/>
        </w:rPr>
        <w:t>.</w:t>
      </w:r>
      <w:r w:rsidR="00654CB5" w:rsidRPr="0065125A">
        <w:rPr>
          <w:rStyle w:val="FootnoteReference"/>
          <w:rFonts w:cstheme="minorHAnsi"/>
          <w:lang w:val="en-CA"/>
        </w:rPr>
        <w:footnoteReference w:id="32"/>
      </w:r>
      <w:r w:rsidR="000B6253" w:rsidRPr="0065125A">
        <w:rPr>
          <w:rFonts w:cstheme="minorHAnsi"/>
          <w:lang w:val="en-CA"/>
        </w:rPr>
        <w:t xml:space="preserve"> </w:t>
      </w:r>
    </w:p>
    <w:p w14:paraId="77618F5F" w14:textId="0E58BDB8" w:rsidR="00A37EAC" w:rsidRPr="0065125A" w:rsidRDefault="00467E92" w:rsidP="00467E92">
      <w:pPr>
        <w:spacing w:line="480" w:lineRule="auto"/>
        <w:rPr>
          <w:rFonts w:cstheme="minorHAnsi"/>
          <w:lang w:val="en-CA"/>
        </w:rPr>
      </w:pPr>
      <w:r w:rsidRPr="0065125A">
        <w:rPr>
          <w:rFonts w:cstheme="minorHAnsi"/>
          <w:lang w:val="en-CA"/>
        </w:rPr>
        <w:t xml:space="preserve">CRTC also determined that banning </w:t>
      </w:r>
      <w:r w:rsidR="00A7744B" w:rsidRPr="0065125A">
        <w:rPr>
          <w:rFonts w:cstheme="minorHAnsi"/>
          <w:lang w:val="en-CA"/>
        </w:rPr>
        <w:t xml:space="preserve">RT did not harm freedom of expression in Canada. </w:t>
      </w:r>
      <w:r w:rsidR="000B6253" w:rsidRPr="0065125A">
        <w:rPr>
          <w:rFonts w:cstheme="minorHAnsi"/>
          <w:lang w:val="en-CA"/>
        </w:rPr>
        <w:t xml:space="preserve">CRTC </w:t>
      </w:r>
      <w:r w:rsidR="000E7945" w:rsidRPr="0065125A">
        <w:rPr>
          <w:rFonts w:cstheme="minorHAnsi"/>
          <w:lang w:val="en-CA"/>
        </w:rPr>
        <w:t>considered</w:t>
      </w:r>
      <w:r w:rsidR="000B6253" w:rsidRPr="0065125A">
        <w:rPr>
          <w:rFonts w:cstheme="minorHAnsi"/>
          <w:lang w:val="en-CA"/>
        </w:rPr>
        <w:t xml:space="preserve"> that Russia clamped down on the operations of Western media in Russia</w:t>
      </w:r>
      <w:r w:rsidR="004717EF" w:rsidRPr="0065125A">
        <w:rPr>
          <w:rFonts w:cstheme="minorHAnsi"/>
          <w:lang w:val="en-CA"/>
        </w:rPr>
        <w:t>, forcing many of them to suspend their Russian programming.</w:t>
      </w:r>
      <w:r w:rsidR="004717EF" w:rsidRPr="0065125A">
        <w:rPr>
          <w:rStyle w:val="FootnoteReference"/>
          <w:rFonts w:cstheme="minorHAnsi"/>
          <w:lang w:val="en-CA"/>
        </w:rPr>
        <w:footnoteReference w:id="33"/>
      </w:r>
      <w:r w:rsidR="00772CFF" w:rsidRPr="0065125A">
        <w:rPr>
          <w:rFonts w:cstheme="minorHAnsi"/>
          <w:lang w:val="en-CA"/>
        </w:rPr>
        <w:t xml:space="preserve"> </w:t>
      </w:r>
      <w:r w:rsidR="008E32FD" w:rsidRPr="0065125A">
        <w:rPr>
          <w:rFonts w:cstheme="minorHAnsi"/>
          <w:lang w:val="en-CA"/>
        </w:rPr>
        <w:t>The decision explain</w:t>
      </w:r>
      <w:r w:rsidR="00BA0301" w:rsidRPr="0065125A">
        <w:rPr>
          <w:rFonts w:cstheme="minorHAnsi"/>
          <w:lang w:val="en-CA"/>
        </w:rPr>
        <w:t>ed</w:t>
      </w:r>
      <w:r w:rsidR="008E32FD" w:rsidRPr="0065125A">
        <w:rPr>
          <w:rFonts w:cstheme="minorHAnsi"/>
          <w:lang w:val="en-CA"/>
        </w:rPr>
        <w:t xml:space="preserve"> that the importance of freedom of expression and the concern for the dangers of one-sided media forms the basis of the CRTC’s open entry approach</w:t>
      </w:r>
      <w:r w:rsidR="009A10A7" w:rsidRPr="0065125A">
        <w:rPr>
          <w:rFonts w:cstheme="minorHAnsi"/>
          <w:lang w:val="en-CA"/>
        </w:rPr>
        <w:t xml:space="preserve"> to the List. However, </w:t>
      </w:r>
      <w:r w:rsidR="00644B1A" w:rsidRPr="0065125A">
        <w:rPr>
          <w:rFonts w:cstheme="minorHAnsi"/>
          <w:lang w:val="en-CA"/>
        </w:rPr>
        <w:t xml:space="preserve">CRTC notes that the freedom of expression under the </w:t>
      </w:r>
      <w:r w:rsidR="00EC282A" w:rsidRPr="0065125A">
        <w:rPr>
          <w:rFonts w:cstheme="minorHAnsi"/>
          <w:lang w:val="en-CA"/>
        </w:rPr>
        <w:t xml:space="preserve">Broadcasting Act </w:t>
      </w:r>
      <w:r w:rsidR="00644B1A" w:rsidRPr="0065125A">
        <w:rPr>
          <w:rFonts w:cstheme="minorHAnsi"/>
          <w:lang w:val="en-CA"/>
        </w:rPr>
        <w:t xml:space="preserve">is </w:t>
      </w:r>
      <w:r w:rsidR="00EC282A" w:rsidRPr="0065125A">
        <w:rPr>
          <w:rFonts w:cstheme="minorHAnsi"/>
          <w:lang w:val="en-CA"/>
        </w:rPr>
        <w:t xml:space="preserve">of a narrower scope. </w:t>
      </w:r>
      <w:r w:rsidR="00AB46D5" w:rsidRPr="0065125A">
        <w:rPr>
          <w:rFonts w:cstheme="minorHAnsi"/>
          <w:lang w:val="en-CA"/>
        </w:rPr>
        <w:t>The Act protects</w:t>
      </w:r>
      <w:r w:rsidR="00EC282A" w:rsidRPr="0065125A">
        <w:rPr>
          <w:rFonts w:cstheme="minorHAnsi"/>
          <w:lang w:val="en-CA"/>
        </w:rPr>
        <w:t xml:space="preserve"> freedom of expression </w:t>
      </w:r>
      <w:r w:rsidR="00653B02" w:rsidRPr="0065125A">
        <w:rPr>
          <w:rFonts w:cstheme="minorHAnsi"/>
          <w:lang w:val="en-CA"/>
        </w:rPr>
        <w:t>within the context of journalistic, creat</w:t>
      </w:r>
      <w:r w:rsidR="00C73678" w:rsidRPr="0065125A">
        <w:rPr>
          <w:rFonts w:cstheme="minorHAnsi"/>
          <w:lang w:val="en-CA"/>
        </w:rPr>
        <w:t>ive and programming independence enjoyed by broadcasting undertakings.</w:t>
      </w:r>
      <w:r w:rsidR="00A753B0" w:rsidRPr="0065125A">
        <w:rPr>
          <w:rFonts w:cstheme="minorHAnsi"/>
          <w:lang w:val="en-CA"/>
        </w:rPr>
        <w:t xml:space="preserve"> </w:t>
      </w:r>
      <w:r w:rsidR="00080E17" w:rsidRPr="0065125A">
        <w:rPr>
          <w:rFonts w:cstheme="minorHAnsi"/>
          <w:lang w:val="en-CA"/>
        </w:rPr>
        <w:t xml:space="preserve">It found that because the Russian government limits journalistic independence in Russia and directs the content on RT, </w:t>
      </w:r>
      <w:r w:rsidR="003F1F17" w:rsidRPr="0065125A">
        <w:rPr>
          <w:rFonts w:cstheme="minorHAnsi"/>
          <w:lang w:val="en-CA"/>
        </w:rPr>
        <w:t xml:space="preserve">the </w:t>
      </w:r>
      <w:r w:rsidR="00BA0A54" w:rsidRPr="0065125A">
        <w:rPr>
          <w:rFonts w:cstheme="minorHAnsi"/>
          <w:lang w:val="en-CA"/>
        </w:rPr>
        <w:t>inclusion of RT</w:t>
      </w:r>
      <w:r w:rsidR="00C41E62" w:rsidRPr="0065125A">
        <w:rPr>
          <w:rFonts w:cstheme="minorHAnsi"/>
          <w:lang w:val="en-CA"/>
        </w:rPr>
        <w:t xml:space="preserve"> is offensive to furthering freedom of expression in Canada.</w:t>
      </w:r>
      <w:r w:rsidR="0065264A" w:rsidRPr="0065125A">
        <w:rPr>
          <w:rFonts w:cstheme="minorHAnsi"/>
          <w:lang w:val="en-CA"/>
        </w:rPr>
        <w:t xml:space="preserve"> Interestingly, </w:t>
      </w:r>
      <w:r w:rsidR="00162101" w:rsidRPr="0065125A">
        <w:rPr>
          <w:rFonts w:cstheme="minorHAnsi"/>
          <w:lang w:val="en-CA"/>
        </w:rPr>
        <w:t>the decision</w:t>
      </w:r>
      <w:r w:rsidR="0065264A" w:rsidRPr="0065125A">
        <w:rPr>
          <w:rFonts w:cstheme="minorHAnsi"/>
          <w:lang w:val="en-CA"/>
        </w:rPr>
        <w:t xml:space="preserve"> notes that any </w:t>
      </w:r>
      <w:r w:rsidR="000214E6" w:rsidRPr="0065125A">
        <w:rPr>
          <w:rFonts w:cstheme="minorHAnsi"/>
          <w:lang w:val="en-CA"/>
        </w:rPr>
        <w:t>harm done to</w:t>
      </w:r>
      <w:r w:rsidR="0065264A" w:rsidRPr="0065125A">
        <w:rPr>
          <w:rFonts w:cstheme="minorHAnsi"/>
          <w:lang w:val="en-CA"/>
        </w:rPr>
        <w:t xml:space="preserve"> free</w:t>
      </w:r>
      <w:r w:rsidR="00162101" w:rsidRPr="0065125A">
        <w:rPr>
          <w:rFonts w:cstheme="minorHAnsi"/>
          <w:lang w:val="en-CA"/>
        </w:rPr>
        <w:t xml:space="preserve"> expression in Canada is </w:t>
      </w:r>
      <w:r w:rsidR="000214E6" w:rsidRPr="0065125A">
        <w:rPr>
          <w:rFonts w:cstheme="minorHAnsi"/>
          <w:lang w:val="en-CA"/>
        </w:rPr>
        <w:t>lessened</w:t>
      </w:r>
      <w:r w:rsidR="00162101" w:rsidRPr="0065125A">
        <w:rPr>
          <w:rFonts w:cstheme="minorHAnsi"/>
          <w:lang w:val="en-CA"/>
        </w:rPr>
        <w:t xml:space="preserve"> </w:t>
      </w:r>
      <w:r w:rsidR="000214E6" w:rsidRPr="0065125A">
        <w:rPr>
          <w:rFonts w:cstheme="minorHAnsi"/>
          <w:lang w:val="en-CA"/>
        </w:rPr>
        <w:t>because</w:t>
      </w:r>
      <w:r w:rsidR="00162101" w:rsidRPr="0065125A">
        <w:rPr>
          <w:rFonts w:cstheme="minorHAnsi"/>
          <w:lang w:val="en-CA"/>
        </w:rPr>
        <w:t xml:space="preserve"> RT’s content will remain accessible</w:t>
      </w:r>
      <w:r w:rsidR="00EB5CD7" w:rsidRPr="0065125A">
        <w:rPr>
          <w:rFonts w:cstheme="minorHAnsi"/>
          <w:lang w:val="en-CA"/>
        </w:rPr>
        <w:t xml:space="preserve"> on the internet, which is exempted from regulation.</w:t>
      </w:r>
      <w:r w:rsidR="000214E6" w:rsidRPr="0065125A">
        <w:rPr>
          <w:rStyle w:val="FootnoteReference"/>
          <w:rFonts w:cstheme="minorHAnsi"/>
          <w:lang w:val="en-CA"/>
        </w:rPr>
        <w:footnoteReference w:id="34"/>
      </w:r>
    </w:p>
    <w:p w14:paraId="68C809E6" w14:textId="089F8411" w:rsidR="00C22555" w:rsidRPr="0065125A" w:rsidRDefault="00123A94" w:rsidP="00B52B48">
      <w:pPr>
        <w:pStyle w:val="Heading1"/>
        <w:rPr>
          <w:lang w:val="en-CA"/>
        </w:rPr>
      </w:pPr>
      <w:bookmarkStart w:id="9" w:name="_Toc101364445"/>
      <w:r w:rsidRPr="0065125A">
        <w:rPr>
          <w:lang w:val="en-CA"/>
        </w:rPr>
        <w:lastRenderedPageBreak/>
        <w:t>What remedies are available to RT?</w:t>
      </w:r>
      <w:bookmarkEnd w:id="9"/>
    </w:p>
    <w:p w14:paraId="3968D795" w14:textId="60902873" w:rsidR="00123A94" w:rsidRPr="0065125A" w:rsidRDefault="00123A94" w:rsidP="00D92400">
      <w:pPr>
        <w:spacing w:line="480" w:lineRule="auto"/>
        <w:ind w:firstLine="720"/>
        <w:rPr>
          <w:rFonts w:cstheme="minorHAnsi"/>
          <w:lang w:val="en-CA"/>
        </w:rPr>
      </w:pPr>
      <w:r w:rsidRPr="0065125A">
        <w:rPr>
          <w:rFonts w:cstheme="minorHAnsi"/>
          <w:lang w:val="en-CA"/>
        </w:rPr>
        <w:t>There are two legal remedies RT may pursue in Canada. It has a statutory</w:t>
      </w:r>
      <w:r w:rsidR="008B4E42" w:rsidRPr="0065125A">
        <w:rPr>
          <w:rFonts w:cstheme="minorHAnsi"/>
          <w:lang w:val="en-CA"/>
        </w:rPr>
        <w:t xml:space="preserve"> right to</w:t>
      </w:r>
      <w:r w:rsidRPr="0065125A">
        <w:rPr>
          <w:rFonts w:cstheme="minorHAnsi"/>
          <w:lang w:val="en-CA"/>
        </w:rPr>
        <w:t xml:space="preserve"> appeal the CRTC decision </w:t>
      </w:r>
      <w:r w:rsidR="005A4214" w:rsidRPr="0065125A">
        <w:rPr>
          <w:rFonts w:cstheme="minorHAnsi"/>
          <w:lang w:val="en-CA"/>
        </w:rPr>
        <w:t>based on s.</w:t>
      </w:r>
      <w:r w:rsidR="008B4E42" w:rsidRPr="0065125A">
        <w:rPr>
          <w:rFonts w:cstheme="minorHAnsi"/>
          <w:lang w:val="en-CA"/>
        </w:rPr>
        <w:t xml:space="preserve">31(2) of the Broadcasting Act. </w:t>
      </w:r>
      <w:r w:rsidR="00C5372F" w:rsidRPr="0065125A">
        <w:rPr>
          <w:rFonts w:cstheme="minorHAnsi"/>
          <w:lang w:val="en-CA"/>
        </w:rPr>
        <w:t xml:space="preserve">In addition, it may argue that either </w:t>
      </w:r>
      <w:r w:rsidR="00033EC2" w:rsidRPr="0065125A">
        <w:rPr>
          <w:rFonts w:cstheme="minorHAnsi"/>
          <w:lang w:val="en-CA"/>
        </w:rPr>
        <w:t>s.5</w:t>
      </w:r>
      <w:r w:rsidR="00FD7C84" w:rsidRPr="0065125A">
        <w:rPr>
          <w:rFonts w:cstheme="minorHAnsi"/>
          <w:lang w:val="en-CA"/>
        </w:rPr>
        <w:t>(1)(b)</w:t>
      </w:r>
      <w:r w:rsidR="00033EC2" w:rsidRPr="0065125A">
        <w:rPr>
          <w:rFonts w:cstheme="minorHAnsi"/>
          <w:lang w:val="en-CA"/>
        </w:rPr>
        <w:t xml:space="preserve"> of the Television Broadcasting Regulations or </w:t>
      </w:r>
      <w:r w:rsidR="00127A19" w:rsidRPr="0065125A">
        <w:rPr>
          <w:rFonts w:cstheme="minorHAnsi"/>
          <w:lang w:val="en-CA"/>
        </w:rPr>
        <w:t xml:space="preserve">the CRTC decision </w:t>
      </w:r>
      <w:r w:rsidR="00DF040F" w:rsidRPr="0065125A">
        <w:rPr>
          <w:rFonts w:cstheme="minorHAnsi"/>
          <w:lang w:val="en-CA"/>
        </w:rPr>
        <w:t>specifically</w:t>
      </w:r>
      <w:r w:rsidR="00127A19" w:rsidRPr="0065125A">
        <w:rPr>
          <w:rFonts w:cstheme="minorHAnsi"/>
          <w:lang w:val="en-CA"/>
        </w:rPr>
        <w:t xml:space="preserve"> violates </w:t>
      </w:r>
      <w:r w:rsidR="00A117C7" w:rsidRPr="0065125A">
        <w:rPr>
          <w:rFonts w:cstheme="minorHAnsi"/>
          <w:lang w:val="en-CA"/>
        </w:rPr>
        <w:t>s.2(b)</w:t>
      </w:r>
      <w:r w:rsidR="003875EB" w:rsidRPr="0065125A">
        <w:rPr>
          <w:rFonts w:cstheme="minorHAnsi"/>
          <w:lang w:val="en-CA"/>
        </w:rPr>
        <w:t>,</w:t>
      </w:r>
      <w:r w:rsidR="00A117C7" w:rsidRPr="0065125A">
        <w:rPr>
          <w:rFonts w:cstheme="minorHAnsi"/>
          <w:lang w:val="en-CA"/>
        </w:rPr>
        <w:t xml:space="preserve"> freedom of thought, belief, op</w:t>
      </w:r>
      <w:r w:rsidR="00DF040F" w:rsidRPr="0065125A">
        <w:rPr>
          <w:rFonts w:cstheme="minorHAnsi"/>
          <w:lang w:val="en-CA"/>
        </w:rPr>
        <w:t>i</w:t>
      </w:r>
      <w:r w:rsidR="00A117C7" w:rsidRPr="0065125A">
        <w:rPr>
          <w:rFonts w:cstheme="minorHAnsi"/>
          <w:lang w:val="en-CA"/>
        </w:rPr>
        <w:t>nion and expression, including freedom of the press and other media communication</w:t>
      </w:r>
      <w:r w:rsidR="003875EB" w:rsidRPr="0065125A">
        <w:rPr>
          <w:rFonts w:cstheme="minorHAnsi"/>
          <w:lang w:val="en-CA"/>
        </w:rPr>
        <w:t>, of the Charter.</w:t>
      </w:r>
    </w:p>
    <w:p w14:paraId="578D1D10" w14:textId="0F4C2518" w:rsidR="00DF040F" w:rsidRPr="0065125A" w:rsidRDefault="00DF040F" w:rsidP="00B52B48">
      <w:pPr>
        <w:pStyle w:val="Heading2"/>
        <w:rPr>
          <w:lang w:val="en-CA"/>
        </w:rPr>
      </w:pPr>
      <w:bookmarkStart w:id="10" w:name="_Toc101364446"/>
      <w:r w:rsidRPr="0065125A">
        <w:rPr>
          <w:lang w:val="en-CA"/>
        </w:rPr>
        <w:t xml:space="preserve">Statutory </w:t>
      </w:r>
      <w:r w:rsidR="00402B06">
        <w:rPr>
          <w:lang w:val="en-CA"/>
        </w:rPr>
        <w:t>r</w:t>
      </w:r>
      <w:r w:rsidRPr="0065125A">
        <w:rPr>
          <w:lang w:val="en-CA"/>
        </w:rPr>
        <w:t xml:space="preserve">ight of </w:t>
      </w:r>
      <w:r w:rsidR="00402B06">
        <w:rPr>
          <w:lang w:val="en-CA"/>
        </w:rPr>
        <w:t>a</w:t>
      </w:r>
      <w:r w:rsidRPr="0065125A">
        <w:rPr>
          <w:lang w:val="en-CA"/>
        </w:rPr>
        <w:t>ppeal</w:t>
      </w:r>
      <w:r w:rsidR="004C268C" w:rsidRPr="0065125A">
        <w:rPr>
          <w:lang w:val="en-CA"/>
        </w:rPr>
        <w:t xml:space="preserve"> under s.31(2) of the Broadcasting Act</w:t>
      </w:r>
      <w:bookmarkEnd w:id="10"/>
    </w:p>
    <w:p w14:paraId="39B50683" w14:textId="16F7C865" w:rsidR="00063982" w:rsidRPr="0065125A" w:rsidRDefault="00076DF2" w:rsidP="00D92400">
      <w:pPr>
        <w:spacing w:line="480" w:lineRule="auto"/>
        <w:ind w:firstLine="360"/>
        <w:rPr>
          <w:rFonts w:cstheme="minorHAnsi"/>
          <w:lang w:val="en-CA"/>
        </w:rPr>
      </w:pPr>
      <w:r w:rsidRPr="0065125A">
        <w:rPr>
          <w:rFonts w:cstheme="minorHAnsi"/>
          <w:lang w:val="en-CA"/>
        </w:rPr>
        <w:t xml:space="preserve">Post </w:t>
      </w:r>
      <w:r w:rsidR="007E7115" w:rsidRPr="0065125A">
        <w:rPr>
          <w:rFonts w:cstheme="minorHAnsi"/>
          <w:i/>
          <w:iCs/>
          <w:lang w:val="en-CA"/>
        </w:rPr>
        <w:t>Vavilov</w:t>
      </w:r>
      <w:r w:rsidR="004E6D57" w:rsidRPr="0065125A">
        <w:rPr>
          <w:rFonts w:cstheme="minorHAnsi"/>
          <w:lang w:val="en-CA"/>
        </w:rPr>
        <w:t>,</w:t>
      </w:r>
      <w:r w:rsidRPr="0065125A">
        <w:rPr>
          <w:rFonts w:cstheme="minorHAnsi"/>
          <w:lang w:val="en-CA"/>
        </w:rPr>
        <w:t xml:space="preserve"> </w:t>
      </w:r>
      <w:r w:rsidR="00021728" w:rsidRPr="0065125A">
        <w:rPr>
          <w:rFonts w:cstheme="minorHAnsi"/>
          <w:lang w:val="en-CA"/>
        </w:rPr>
        <w:t xml:space="preserve">one of two standards of review </w:t>
      </w:r>
      <w:r w:rsidR="004E6D57" w:rsidRPr="0065125A">
        <w:rPr>
          <w:rFonts w:cstheme="minorHAnsi"/>
          <w:lang w:val="en-CA"/>
        </w:rPr>
        <w:t>applies</w:t>
      </w:r>
      <w:r w:rsidR="0011231F" w:rsidRPr="0065125A">
        <w:rPr>
          <w:rFonts w:cstheme="minorHAnsi"/>
          <w:lang w:val="en-CA"/>
        </w:rPr>
        <w:t xml:space="preserve"> to decisions from an administrative decision. </w:t>
      </w:r>
      <w:r w:rsidR="00237A7E" w:rsidRPr="0065125A">
        <w:rPr>
          <w:rFonts w:cstheme="minorHAnsi"/>
          <w:lang w:val="en-CA"/>
        </w:rPr>
        <w:t>Judicial review of an administrative decision begins with a presumption of reasonable</w:t>
      </w:r>
      <w:r w:rsidR="008A13C2" w:rsidRPr="0065125A">
        <w:rPr>
          <w:rFonts w:cstheme="minorHAnsi"/>
          <w:lang w:val="en-CA"/>
        </w:rPr>
        <w:t>ness</w:t>
      </w:r>
      <w:r w:rsidR="00237A7E" w:rsidRPr="0065125A">
        <w:rPr>
          <w:rFonts w:cstheme="minorHAnsi"/>
          <w:lang w:val="en-CA"/>
        </w:rPr>
        <w:t xml:space="preserve">. </w:t>
      </w:r>
      <w:r w:rsidR="00CA4EA3" w:rsidRPr="0065125A">
        <w:rPr>
          <w:rFonts w:cstheme="minorHAnsi"/>
          <w:lang w:val="en-CA"/>
        </w:rPr>
        <w:t xml:space="preserve">This presumption is based on the </w:t>
      </w:r>
      <w:r w:rsidR="000B726D" w:rsidRPr="0065125A">
        <w:rPr>
          <w:rFonts w:cstheme="minorHAnsi"/>
          <w:lang w:val="en-CA"/>
        </w:rPr>
        <w:t xml:space="preserve">assumption that an administrative body possesses greater relative expertise on the subject matter of </w:t>
      </w:r>
      <w:r w:rsidR="001B0638" w:rsidRPr="0065125A">
        <w:rPr>
          <w:rFonts w:cstheme="minorHAnsi"/>
          <w:lang w:val="en-CA"/>
        </w:rPr>
        <w:t>its jurisdiction.</w:t>
      </w:r>
      <w:r w:rsidR="001B0638" w:rsidRPr="0065125A">
        <w:rPr>
          <w:rStyle w:val="FootnoteReference"/>
          <w:rFonts w:cstheme="minorHAnsi"/>
          <w:lang w:val="en-CA"/>
        </w:rPr>
        <w:footnoteReference w:id="35"/>
      </w:r>
      <w:r w:rsidR="00C37C30" w:rsidRPr="0065125A">
        <w:rPr>
          <w:rFonts w:cstheme="minorHAnsi"/>
          <w:lang w:val="en-CA"/>
        </w:rPr>
        <w:t xml:space="preserve"> </w:t>
      </w:r>
    </w:p>
    <w:p w14:paraId="7ADD4323" w14:textId="77777777" w:rsidR="00706C59" w:rsidRPr="0065125A" w:rsidRDefault="007E2470" w:rsidP="00D92400">
      <w:pPr>
        <w:spacing w:line="480" w:lineRule="auto"/>
        <w:ind w:firstLine="360"/>
        <w:rPr>
          <w:rFonts w:cstheme="minorHAnsi"/>
          <w:lang w:val="en-CA"/>
        </w:rPr>
      </w:pPr>
      <w:r w:rsidRPr="0065125A">
        <w:rPr>
          <w:rFonts w:cstheme="minorHAnsi"/>
          <w:lang w:val="en-CA"/>
        </w:rPr>
        <w:t xml:space="preserve">However, </w:t>
      </w:r>
      <w:r w:rsidR="008A13C2" w:rsidRPr="0065125A">
        <w:rPr>
          <w:rFonts w:cstheme="minorHAnsi"/>
          <w:lang w:val="en-CA"/>
        </w:rPr>
        <w:t xml:space="preserve">the presumption of reasonableness is replaced by the standard of correctness if one of the three following </w:t>
      </w:r>
      <w:r w:rsidR="005E0AD8" w:rsidRPr="0065125A">
        <w:rPr>
          <w:rFonts w:cstheme="minorHAnsi"/>
          <w:lang w:val="en-CA"/>
        </w:rPr>
        <w:t>conditions apply</w:t>
      </w:r>
      <w:r w:rsidR="00706C59" w:rsidRPr="0065125A">
        <w:rPr>
          <w:rFonts w:cstheme="minorHAnsi"/>
          <w:lang w:val="en-CA"/>
        </w:rPr>
        <w:t xml:space="preserve">: </w:t>
      </w:r>
    </w:p>
    <w:p w14:paraId="2F20D8AC" w14:textId="494A9BCC" w:rsidR="00321FE0" w:rsidRPr="0065125A" w:rsidRDefault="005E0AD8" w:rsidP="00321FE0">
      <w:pPr>
        <w:pStyle w:val="ListParagraph"/>
        <w:numPr>
          <w:ilvl w:val="0"/>
          <w:numId w:val="1"/>
        </w:numPr>
        <w:spacing w:line="480" w:lineRule="auto"/>
        <w:rPr>
          <w:rFonts w:cstheme="minorHAnsi"/>
          <w:lang w:val="en-CA"/>
        </w:rPr>
      </w:pPr>
      <w:r w:rsidRPr="0065125A">
        <w:rPr>
          <w:rFonts w:cstheme="minorHAnsi"/>
          <w:lang w:val="en-CA"/>
        </w:rPr>
        <w:t xml:space="preserve">The legislation specifically </w:t>
      </w:r>
      <w:r w:rsidR="00B659F6" w:rsidRPr="0065125A">
        <w:rPr>
          <w:rFonts w:cstheme="minorHAnsi"/>
          <w:lang w:val="en-CA"/>
        </w:rPr>
        <w:t>mandates</w:t>
      </w:r>
      <w:r w:rsidRPr="0065125A">
        <w:rPr>
          <w:rFonts w:cstheme="minorHAnsi"/>
          <w:lang w:val="en-CA"/>
        </w:rPr>
        <w:t xml:space="preserve"> </w:t>
      </w:r>
      <w:r w:rsidR="00B659F6" w:rsidRPr="0065125A">
        <w:rPr>
          <w:rFonts w:cstheme="minorHAnsi"/>
          <w:lang w:val="en-CA"/>
        </w:rPr>
        <w:t>correctness as the applicable standard of review.</w:t>
      </w:r>
      <w:r w:rsidR="00B659F6" w:rsidRPr="0065125A">
        <w:rPr>
          <w:rStyle w:val="FootnoteReference"/>
          <w:rFonts w:cstheme="minorHAnsi"/>
          <w:lang w:val="en-CA"/>
        </w:rPr>
        <w:footnoteReference w:id="36"/>
      </w:r>
      <w:r w:rsidR="00B659F6" w:rsidRPr="0065125A">
        <w:rPr>
          <w:rFonts w:cstheme="minorHAnsi"/>
          <w:lang w:val="en-CA"/>
        </w:rPr>
        <w:t xml:space="preserve"> </w:t>
      </w:r>
      <w:r w:rsidR="00C346B7" w:rsidRPr="0065125A">
        <w:rPr>
          <w:rFonts w:cstheme="minorHAnsi"/>
          <w:lang w:val="en-CA"/>
        </w:rPr>
        <w:t xml:space="preserve">The legislation provides a statutory appeal mechanism to a </w:t>
      </w:r>
      <w:r w:rsidR="00134380" w:rsidRPr="0065125A">
        <w:rPr>
          <w:rFonts w:cstheme="minorHAnsi"/>
          <w:lang w:val="en-CA"/>
        </w:rPr>
        <w:t>court of appeals.</w:t>
      </w:r>
      <w:r w:rsidR="003E18F5" w:rsidRPr="0065125A">
        <w:rPr>
          <w:rFonts w:cstheme="minorHAnsi"/>
          <w:lang w:val="en-CA"/>
        </w:rPr>
        <w:t xml:space="preserve"> This closes the door on </w:t>
      </w:r>
      <w:r w:rsidR="00C14322" w:rsidRPr="0065125A">
        <w:rPr>
          <w:rFonts w:cstheme="minorHAnsi"/>
          <w:lang w:val="en-CA"/>
        </w:rPr>
        <w:t xml:space="preserve">a contextual analysis to determine the </w:t>
      </w:r>
      <w:r w:rsidR="00BF5F84" w:rsidRPr="0065125A">
        <w:rPr>
          <w:rFonts w:cstheme="minorHAnsi"/>
          <w:lang w:val="en-CA"/>
        </w:rPr>
        <w:t>appropriate</w:t>
      </w:r>
      <w:r w:rsidR="00C14322" w:rsidRPr="0065125A">
        <w:rPr>
          <w:rFonts w:cstheme="minorHAnsi"/>
          <w:lang w:val="en-CA"/>
        </w:rPr>
        <w:t xml:space="preserve"> standard where the legislature has intentionally chosen a more </w:t>
      </w:r>
      <w:r w:rsidR="00BF5F84" w:rsidRPr="0065125A">
        <w:rPr>
          <w:rFonts w:cstheme="minorHAnsi"/>
          <w:lang w:val="en-CA"/>
        </w:rPr>
        <w:t>active</w:t>
      </w:r>
      <w:r w:rsidR="00C14322" w:rsidRPr="0065125A">
        <w:rPr>
          <w:rFonts w:cstheme="minorHAnsi"/>
          <w:lang w:val="en-CA"/>
        </w:rPr>
        <w:t xml:space="preserve"> role for the courts in an appeal.</w:t>
      </w:r>
      <w:r w:rsidR="00C14322" w:rsidRPr="0065125A">
        <w:rPr>
          <w:rStyle w:val="FootnoteReference"/>
          <w:rFonts w:cstheme="minorHAnsi"/>
          <w:lang w:val="en-CA"/>
        </w:rPr>
        <w:footnoteReference w:id="37"/>
      </w:r>
      <w:r w:rsidR="008818C8" w:rsidRPr="0065125A">
        <w:rPr>
          <w:rFonts w:cstheme="minorHAnsi"/>
          <w:lang w:val="en-CA"/>
        </w:rPr>
        <w:t xml:space="preserve"> </w:t>
      </w:r>
    </w:p>
    <w:p w14:paraId="193CF9F7" w14:textId="52995CF6" w:rsidR="004D0DB5" w:rsidRPr="0065125A" w:rsidRDefault="00321FE0" w:rsidP="00321FE0">
      <w:pPr>
        <w:pStyle w:val="ListParagraph"/>
        <w:numPr>
          <w:ilvl w:val="0"/>
          <w:numId w:val="1"/>
        </w:numPr>
        <w:spacing w:line="480" w:lineRule="auto"/>
        <w:rPr>
          <w:rFonts w:cstheme="minorHAnsi"/>
          <w:lang w:val="en-CA"/>
        </w:rPr>
      </w:pPr>
      <w:r w:rsidRPr="0065125A">
        <w:rPr>
          <w:rFonts w:cstheme="minorHAnsi"/>
          <w:lang w:val="en-CA"/>
        </w:rPr>
        <w:t>T</w:t>
      </w:r>
      <w:r w:rsidR="0046483E" w:rsidRPr="0065125A">
        <w:rPr>
          <w:rFonts w:cstheme="minorHAnsi"/>
          <w:lang w:val="en-CA"/>
        </w:rPr>
        <w:t xml:space="preserve">he </w:t>
      </w:r>
      <w:r w:rsidR="00E22187" w:rsidRPr="0065125A">
        <w:rPr>
          <w:rFonts w:cstheme="minorHAnsi"/>
          <w:lang w:val="en-CA"/>
        </w:rPr>
        <w:t xml:space="preserve">statute that provides the right of appeal is a true right to appeal </w:t>
      </w:r>
      <w:r w:rsidRPr="0065125A">
        <w:rPr>
          <w:rFonts w:cstheme="minorHAnsi"/>
          <w:lang w:val="en-CA"/>
        </w:rPr>
        <w:t>as opposed to</w:t>
      </w:r>
      <w:r w:rsidR="00E22187" w:rsidRPr="0065125A">
        <w:rPr>
          <w:rFonts w:cstheme="minorHAnsi"/>
          <w:lang w:val="en-CA"/>
        </w:rPr>
        <w:t xml:space="preserve"> merely a right to a review of procedural </w:t>
      </w:r>
      <w:r w:rsidR="00E345FF" w:rsidRPr="0065125A">
        <w:rPr>
          <w:rFonts w:cstheme="minorHAnsi"/>
          <w:lang w:val="en-CA"/>
        </w:rPr>
        <w:t xml:space="preserve">or other similar aspects of a decision. </w:t>
      </w:r>
      <w:r w:rsidR="006C6DF3" w:rsidRPr="0065125A">
        <w:rPr>
          <w:rFonts w:cstheme="minorHAnsi"/>
          <w:lang w:val="en-CA"/>
        </w:rPr>
        <w:t>If the empowering statute uses clear language such as an ‘appeal</w:t>
      </w:r>
      <w:r w:rsidR="00312CFC" w:rsidRPr="0065125A">
        <w:rPr>
          <w:rFonts w:cstheme="minorHAnsi"/>
          <w:lang w:val="en-CA"/>
        </w:rPr>
        <w:t>,’</w:t>
      </w:r>
      <w:r w:rsidR="00271ECD" w:rsidRPr="0065125A">
        <w:rPr>
          <w:rFonts w:cstheme="minorHAnsi"/>
          <w:lang w:val="en-CA"/>
        </w:rPr>
        <w:t xml:space="preserve"> that is a clear indicator.</w:t>
      </w:r>
      <w:r w:rsidR="00CB2F15" w:rsidRPr="0065125A">
        <w:rPr>
          <w:rFonts w:cstheme="minorHAnsi"/>
          <w:lang w:val="en-CA"/>
        </w:rPr>
        <w:t xml:space="preserve"> The right to appeal on a </w:t>
      </w:r>
      <w:r w:rsidR="00CB2F15" w:rsidRPr="0065125A">
        <w:rPr>
          <w:rFonts w:cstheme="minorHAnsi"/>
          <w:lang w:val="en-CA"/>
        </w:rPr>
        <w:lastRenderedPageBreak/>
        <w:t>correctness standard is often circumscribed. For example, a statute may provide an appeal on questions of law</w:t>
      </w:r>
      <w:r w:rsidR="007A4E8E" w:rsidRPr="0065125A">
        <w:rPr>
          <w:rFonts w:cstheme="minorHAnsi"/>
          <w:lang w:val="en-CA"/>
        </w:rPr>
        <w:t xml:space="preserve"> only. In that case, an appeal based on a mix of issues</w:t>
      </w:r>
      <w:r w:rsidR="00C85BE7" w:rsidRPr="0065125A">
        <w:rPr>
          <w:rFonts w:cstheme="minorHAnsi"/>
          <w:lang w:val="en-CA"/>
        </w:rPr>
        <w:t>,</w:t>
      </w:r>
      <w:r w:rsidR="007A4E8E" w:rsidRPr="0065125A">
        <w:rPr>
          <w:rFonts w:cstheme="minorHAnsi"/>
          <w:lang w:val="en-CA"/>
        </w:rPr>
        <w:t xml:space="preserve"> including questions of law and procedural fairness</w:t>
      </w:r>
      <w:r w:rsidR="00C85BE7" w:rsidRPr="0065125A">
        <w:rPr>
          <w:rFonts w:cstheme="minorHAnsi"/>
          <w:lang w:val="en-CA"/>
        </w:rPr>
        <w:t>,</w:t>
      </w:r>
      <w:r w:rsidR="007A4E8E" w:rsidRPr="0065125A">
        <w:rPr>
          <w:rFonts w:cstheme="minorHAnsi"/>
          <w:lang w:val="en-CA"/>
        </w:rPr>
        <w:t xml:space="preserve"> would use the standard of correctness on the questions of law and </w:t>
      </w:r>
      <w:r w:rsidR="00105D79" w:rsidRPr="0065125A">
        <w:rPr>
          <w:rFonts w:cstheme="minorHAnsi"/>
          <w:lang w:val="en-CA"/>
        </w:rPr>
        <w:t xml:space="preserve">the </w:t>
      </w:r>
      <w:r w:rsidR="007A4E8E" w:rsidRPr="0065125A">
        <w:rPr>
          <w:rFonts w:cstheme="minorHAnsi"/>
          <w:lang w:val="en-CA"/>
        </w:rPr>
        <w:t>standard of reasonableness on the review of procedural questions.</w:t>
      </w:r>
      <w:r w:rsidR="008729CF" w:rsidRPr="0065125A">
        <w:rPr>
          <w:rFonts w:cstheme="minorHAnsi"/>
          <w:lang w:val="en-CA"/>
        </w:rPr>
        <w:t xml:space="preserve"> Whether the right to appeal is subject to the leave of the court or automatic is not a factor </w:t>
      </w:r>
      <w:r w:rsidR="00E30658" w:rsidRPr="0065125A">
        <w:rPr>
          <w:rFonts w:cstheme="minorHAnsi"/>
          <w:lang w:val="en-CA"/>
        </w:rPr>
        <w:t>that calls for a lower standard of review if the standard should be that of correctness absent th</w:t>
      </w:r>
      <w:r w:rsidR="00C276EF" w:rsidRPr="0065125A">
        <w:rPr>
          <w:rFonts w:cstheme="minorHAnsi"/>
          <w:lang w:val="en-CA"/>
        </w:rPr>
        <w:t>e court’s discretion on hearing the appeal.</w:t>
      </w:r>
      <w:r w:rsidR="00C276EF" w:rsidRPr="0065125A">
        <w:rPr>
          <w:rStyle w:val="FootnoteReference"/>
          <w:rFonts w:cstheme="minorHAnsi"/>
          <w:lang w:val="en-CA"/>
        </w:rPr>
        <w:footnoteReference w:id="38"/>
      </w:r>
      <w:r w:rsidR="00BB03A4" w:rsidRPr="0065125A">
        <w:rPr>
          <w:rFonts w:cstheme="minorHAnsi"/>
          <w:lang w:val="en-CA"/>
        </w:rPr>
        <w:t xml:space="preserve"> </w:t>
      </w:r>
    </w:p>
    <w:p w14:paraId="06DA32B1" w14:textId="7E1A142D" w:rsidR="00321FE0" w:rsidRPr="0065125A" w:rsidRDefault="0061514A" w:rsidP="00321FE0">
      <w:pPr>
        <w:pStyle w:val="ListParagraph"/>
        <w:numPr>
          <w:ilvl w:val="0"/>
          <w:numId w:val="1"/>
        </w:numPr>
        <w:spacing w:line="480" w:lineRule="auto"/>
        <w:rPr>
          <w:rFonts w:cstheme="minorHAnsi"/>
          <w:lang w:val="en-CA"/>
        </w:rPr>
      </w:pPr>
      <w:r w:rsidRPr="0065125A">
        <w:rPr>
          <w:rFonts w:cstheme="minorHAnsi"/>
          <w:lang w:val="en-CA"/>
        </w:rPr>
        <w:t xml:space="preserve">The principle of </w:t>
      </w:r>
      <w:r w:rsidR="00975B0C" w:rsidRPr="0065125A">
        <w:rPr>
          <w:rFonts w:cstheme="minorHAnsi"/>
          <w:lang w:val="en-CA"/>
        </w:rPr>
        <w:t xml:space="preserve">the </w:t>
      </w:r>
      <w:r w:rsidRPr="0065125A">
        <w:rPr>
          <w:rFonts w:cstheme="minorHAnsi"/>
          <w:lang w:val="en-CA"/>
        </w:rPr>
        <w:t>rule of law requires a standard of correct</w:t>
      </w:r>
      <w:r w:rsidR="0035218C" w:rsidRPr="0065125A">
        <w:rPr>
          <w:rFonts w:cstheme="minorHAnsi"/>
          <w:lang w:val="en-CA"/>
        </w:rPr>
        <w:t xml:space="preserve">ness on constitutional questions, </w:t>
      </w:r>
      <w:r w:rsidR="00975B0C" w:rsidRPr="0065125A">
        <w:rPr>
          <w:rFonts w:cstheme="minorHAnsi"/>
          <w:lang w:val="en-CA"/>
        </w:rPr>
        <w:t>general questions of law</w:t>
      </w:r>
      <w:r w:rsidR="0035218C" w:rsidRPr="0065125A">
        <w:rPr>
          <w:rFonts w:cstheme="minorHAnsi"/>
          <w:lang w:val="en-CA"/>
        </w:rPr>
        <w:t xml:space="preserve"> </w:t>
      </w:r>
      <w:r w:rsidR="00975B0C" w:rsidRPr="0065125A">
        <w:rPr>
          <w:rFonts w:cstheme="minorHAnsi"/>
          <w:lang w:val="en-CA"/>
        </w:rPr>
        <w:t>of central importance to the legal system as a whole, and questions regarding the jurisdictional boundaries between two or more administrative bodies.</w:t>
      </w:r>
      <w:r w:rsidR="00975B0C" w:rsidRPr="0065125A">
        <w:rPr>
          <w:rStyle w:val="FootnoteReference"/>
          <w:rFonts w:cstheme="minorHAnsi"/>
          <w:lang w:val="en-CA"/>
        </w:rPr>
        <w:footnoteReference w:id="39"/>
      </w:r>
    </w:p>
    <w:p w14:paraId="7D5A97D3" w14:textId="48BD000A" w:rsidR="001335B2" w:rsidRPr="0065125A" w:rsidRDefault="006B3B17" w:rsidP="00D92400">
      <w:pPr>
        <w:spacing w:line="480" w:lineRule="auto"/>
        <w:ind w:firstLine="360"/>
        <w:rPr>
          <w:rFonts w:cstheme="minorHAnsi"/>
          <w:lang w:val="en-CA"/>
        </w:rPr>
      </w:pPr>
      <w:r w:rsidRPr="0065125A">
        <w:rPr>
          <w:rFonts w:cstheme="minorHAnsi"/>
          <w:lang w:val="en-CA"/>
        </w:rPr>
        <w:t>Th</w:t>
      </w:r>
      <w:r w:rsidR="00F52FB9" w:rsidRPr="0065125A">
        <w:rPr>
          <w:rFonts w:cstheme="minorHAnsi"/>
          <w:lang w:val="en-CA"/>
        </w:rPr>
        <w:t>e statutory right of appeals under the Broadcasting Act s.32 reads</w:t>
      </w:r>
      <w:r w:rsidR="00524C6F" w:rsidRPr="0065125A">
        <w:rPr>
          <w:rFonts w:cstheme="minorHAnsi"/>
          <w:lang w:val="en-CA"/>
        </w:rPr>
        <w:t>,</w:t>
      </w:r>
      <w:r w:rsidR="00F52FB9" w:rsidRPr="0065125A">
        <w:rPr>
          <w:rFonts w:cstheme="minorHAnsi"/>
          <w:lang w:val="en-CA"/>
        </w:rPr>
        <w:t xml:space="preserve"> “an appeal lies from a decision or order of the Commission to the Federal Court of Appeal on a question of law or a question of jurisdiction </w:t>
      </w:r>
      <w:r w:rsidR="00E13622" w:rsidRPr="0065125A">
        <w:rPr>
          <w:rFonts w:cstheme="minorHAnsi"/>
          <w:lang w:val="en-CA"/>
        </w:rPr>
        <w:t xml:space="preserve">if leave therefor is obtained from that Court on application made within </w:t>
      </w:r>
      <w:r w:rsidR="00187884" w:rsidRPr="0065125A">
        <w:rPr>
          <w:rFonts w:cstheme="minorHAnsi"/>
          <w:lang w:val="en-CA"/>
        </w:rPr>
        <w:t xml:space="preserve">one month after the making of the decision or order sought to be appealed from or within such further time as that Court under special circumstances allows.” </w:t>
      </w:r>
      <w:r w:rsidR="00DD0057" w:rsidRPr="0065125A">
        <w:rPr>
          <w:rFonts w:cstheme="minorHAnsi"/>
          <w:lang w:val="en-CA"/>
        </w:rPr>
        <w:t xml:space="preserve">This provision permits an appeal on limited circumstances of questions of law or jurisdiction subject to leave of the Court. </w:t>
      </w:r>
      <w:r w:rsidR="00845123" w:rsidRPr="0065125A">
        <w:rPr>
          <w:rFonts w:cstheme="minorHAnsi"/>
          <w:lang w:val="en-CA"/>
        </w:rPr>
        <w:t xml:space="preserve">The basis of the CRTC decision is primarily on the grounds that RT’s programming services constitute abusive </w:t>
      </w:r>
      <w:r w:rsidR="00312CFC" w:rsidRPr="0065125A">
        <w:rPr>
          <w:rFonts w:cstheme="minorHAnsi"/>
          <w:lang w:val="en-CA"/>
        </w:rPr>
        <w:t>comments</w:t>
      </w:r>
      <w:r w:rsidR="00301EBA" w:rsidRPr="0065125A">
        <w:rPr>
          <w:rFonts w:cstheme="minorHAnsi"/>
          <w:lang w:val="en-CA"/>
        </w:rPr>
        <w:t xml:space="preserve"> and secondarily on the grounds that </w:t>
      </w:r>
      <w:r w:rsidR="008508DC" w:rsidRPr="0065125A">
        <w:rPr>
          <w:rFonts w:cstheme="minorHAnsi"/>
          <w:lang w:val="en-CA"/>
        </w:rPr>
        <w:t>l</w:t>
      </w:r>
      <w:r w:rsidR="00301EBA" w:rsidRPr="0065125A">
        <w:rPr>
          <w:rFonts w:cstheme="minorHAnsi"/>
          <w:lang w:val="en-CA"/>
        </w:rPr>
        <w:t xml:space="preserve">isting RT is not consistent with </w:t>
      </w:r>
      <w:r w:rsidR="008508DC" w:rsidRPr="0065125A">
        <w:rPr>
          <w:rFonts w:cstheme="minorHAnsi"/>
          <w:lang w:val="en-CA"/>
        </w:rPr>
        <w:t xml:space="preserve">the </w:t>
      </w:r>
      <w:r w:rsidR="00301EBA" w:rsidRPr="0065125A">
        <w:rPr>
          <w:rFonts w:cstheme="minorHAnsi"/>
          <w:lang w:val="en-CA"/>
        </w:rPr>
        <w:t>public interest.</w:t>
      </w:r>
      <w:r w:rsidR="00EA1937" w:rsidRPr="0065125A">
        <w:rPr>
          <w:rFonts w:cstheme="minorHAnsi"/>
          <w:lang w:val="en-CA"/>
        </w:rPr>
        <w:t xml:space="preserve"> </w:t>
      </w:r>
      <w:r w:rsidR="006E2A05" w:rsidRPr="0065125A">
        <w:rPr>
          <w:rFonts w:cstheme="minorHAnsi"/>
          <w:lang w:val="en-CA"/>
        </w:rPr>
        <w:t>A</w:t>
      </w:r>
      <w:r w:rsidR="00EA1937" w:rsidRPr="0065125A">
        <w:rPr>
          <w:rFonts w:cstheme="minorHAnsi"/>
          <w:lang w:val="en-CA"/>
        </w:rPr>
        <w:t xml:space="preserve">n appeal whether RT’s programming constituted abusive </w:t>
      </w:r>
      <w:r w:rsidR="008508DC" w:rsidRPr="0065125A">
        <w:rPr>
          <w:rFonts w:cstheme="minorHAnsi"/>
          <w:lang w:val="en-CA"/>
        </w:rPr>
        <w:t>comments</w:t>
      </w:r>
      <w:r w:rsidR="00EA1937" w:rsidRPr="0065125A">
        <w:rPr>
          <w:rFonts w:cstheme="minorHAnsi"/>
          <w:lang w:val="en-CA"/>
        </w:rPr>
        <w:t xml:space="preserve"> would be a question of fact</w:t>
      </w:r>
      <w:r w:rsidR="006E2A05" w:rsidRPr="0065125A">
        <w:rPr>
          <w:rFonts w:cstheme="minorHAnsi"/>
          <w:lang w:val="en-CA"/>
        </w:rPr>
        <w:t>.</w:t>
      </w:r>
      <w:r w:rsidR="00591DC3" w:rsidRPr="0065125A">
        <w:rPr>
          <w:rFonts w:cstheme="minorHAnsi"/>
          <w:lang w:val="en-CA"/>
        </w:rPr>
        <w:t xml:space="preserve"> </w:t>
      </w:r>
      <w:r w:rsidR="006E2A05" w:rsidRPr="0065125A">
        <w:rPr>
          <w:rFonts w:cstheme="minorHAnsi"/>
          <w:lang w:val="en-CA"/>
        </w:rPr>
        <w:t xml:space="preserve">Based on the </w:t>
      </w:r>
      <w:r w:rsidR="007E7115" w:rsidRPr="0065125A">
        <w:rPr>
          <w:rFonts w:cstheme="minorHAnsi"/>
          <w:i/>
          <w:iCs/>
          <w:lang w:val="en-CA"/>
        </w:rPr>
        <w:t>Vavilov</w:t>
      </w:r>
      <w:r w:rsidR="006E2A05" w:rsidRPr="0065125A">
        <w:rPr>
          <w:rFonts w:cstheme="minorHAnsi"/>
          <w:lang w:val="en-CA"/>
        </w:rPr>
        <w:t xml:space="preserve"> framework, the applicable standard of review is reasonableness</w:t>
      </w:r>
      <w:r w:rsidR="007621A2" w:rsidRPr="0065125A">
        <w:rPr>
          <w:rFonts w:cstheme="minorHAnsi"/>
          <w:lang w:val="en-CA"/>
        </w:rPr>
        <w:t xml:space="preserve"> </w:t>
      </w:r>
      <w:r w:rsidR="00591DC3" w:rsidRPr="0065125A">
        <w:rPr>
          <w:rFonts w:cstheme="minorHAnsi"/>
          <w:lang w:val="en-CA"/>
        </w:rPr>
        <w:t xml:space="preserve">because </w:t>
      </w:r>
      <w:r w:rsidR="006E2A05" w:rsidRPr="0065125A">
        <w:rPr>
          <w:rFonts w:cstheme="minorHAnsi"/>
          <w:lang w:val="en-CA"/>
        </w:rPr>
        <w:t>a question of fact</w:t>
      </w:r>
      <w:r w:rsidR="00591DC3" w:rsidRPr="0065125A">
        <w:rPr>
          <w:rFonts w:cstheme="minorHAnsi"/>
          <w:lang w:val="en-CA"/>
        </w:rPr>
        <w:t xml:space="preserve"> is not within the </w:t>
      </w:r>
      <w:r w:rsidR="006E2A05" w:rsidRPr="0065125A">
        <w:rPr>
          <w:rFonts w:cstheme="minorHAnsi"/>
          <w:lang w:val="en-CA"/>
        </w:rPr>
        <w:t xml:space="preserve">limited circumstances </w:t>
      </w:r>
      <w:r w:rsidR="00F42327" w:rsidRPr="0065125A">
        <w:rPr>
          <w:rFonts w:cstheme="minorHAnsi"/>
          <w:lang w:val="en-CA"/>
        </w:rPr>
        <w:t xml:space="preserve">where </w:t>
      </w:r>
      <w:r w:rsidR="006E2A05" w:rsidRPr="0065125A">
        <w:rPr>
          <w:rFonts w:cstheme="minorHAnsi"/>
          <w:lang w:val="en-CA"/>
        </w:rPr>
        <w:t>a true right of appeal is grant</w:t>
      </w:r>
      <w:r w:rsidR="00F42327" w:rsidRPr="0065125A">
        <w:rPr>
          <w:rFonts w:cstheme="minorHAnsi"/>
          <w:lang w:val="en-CA"/>
        </w:rPr>
        <w:t xml:space="preserve">ed. On the other hand, an appeal based on whether </w:t>
      </w:r>
      <w:r w:rsidR="007621A2" w:rsidRPr="0065125A">
        <w:rPr>
          <w:rFonts w:cstheme="minorHAnsi"/>
          <w:lang w:val="en-CA"/>
        </w:rPr>
        <w:lastRenderedPageBreak/>
        <w:t>CRTC could apply s.5(1)(b) to RT’s programming is a question of law subject to the standard of correctness.</w:t>
      </w:r>
    </w:p>
    <w:p w14:paraId="4AE12110" w14:textId="7BB4F213" w:rsidR="00C050FA" w:rsidRPr="0065125A" w:rsidRDefault="008F70F2" w:rsidP="00D92400">
      <w:pPr>
        <w:spacing w:line="480" w:lineRule="auto"/>
        <w:ind w:firstLine="720"/>
        <w:rPr>
          <w:rFonts w:cstheme="minorHAnsi"/>
          <w:lang w:val="en-CA"/>
        </w:rPr>
      </w:pPr>
      <w:r w:rsidRPr="0065125A">
        <w:rPr>
          <w:rFonts w:cstheme="minorHAnsi"/>
          <w:lang w:val="en-CA"/>
        </w:rPr>
        <w:t xml:space="preserve">As much as I can </w:t>
      </w:r>
      <w:r w:rsidR="001363E3" w:rsidRPr="0065125A">
        <w:rPr>
          <w:rFonts w:cstheme="minorHAnsi"/>
          <w:lang w:val="en-CA"/>
        </w:rPr>
        <w:t>tell</w:t>
      </w:r>
      <w:r w:rsidRPr="0065125A">
        <w:rPr>
          <w:rFonts w:cstheme="minorHAnsi"/>
          <w:lang w:val="en-CA"/>
        </w:rPr>
        <w:t xml:space="preserve">, there aren’t any cases on Lexis or Westlaw where </w:t>
      </w:r>
      <w:r w:rsidR="00845123" w:rsidRPr="0065125A">
        <w:rPr>
          <w:rFonts w:cstheme="minorHAnsi"/>
          <w:lang w:val="en-CA"/>
        </w:rPr>
        <w:t xml:space="preserve">a court </w:t>
      </w:r>
      <w:r w:rsidR="00301EBA" w:rsidRPr="0065125A">
        <w:rPr>
          <w:rFonts w:cstheme="minorHAnsi"/>
          <w:lang w:val="en-CA"/>
        </w:rPr>
        <w:t xml:space="preserve">reviewed </w:t>
      </w:r>
      <w:r w:rsidR="007F546F" w:rsidRPr="0065125A">
        <w:rPr>
          <w:rFonts w:cstheme="minorHAnsi"/>
          <w:lang w:val="en-CA"/>
        </w:rPr>
        <w:t xml:space="preserve">a CRTC decision on abusive comment. CRTC’s jurisprudence explains that </w:t>
      </w:r>
      <w:r w:rsidR="00F549BC" w:rsidRPr="0065125A">
        <w:rPr>
          <w:rFonts w:cstheme="minorHAnsi"/>
          <w:lang w:val="en-CA"/>
        </w:rPr>
        <w:t>a violation of s.5(1)(b) of the regulation requires fulfillment of three criteria.</w:t>
      </w:r>
      <w:r w:rsidR="00071351" w:rsidRPr="0065125A">
        <w:rPr>
          <w:rStyle w:val="FootnoteReference"/>
          <w:rFonts w:cstheme="minorHAnsi"/>
          <w:lang w:val="en-CA"/>
        </w:rPr>
        <w:footnoteReference w:id="40"/>
      </w:r>
      <w:r w:rsidR="00F549BC" w:rsidRPr="0065125A">
        <w:rPr>
          <w:rFonts w:cstheme="minorHAnsi"/>
          <w:lang w:val="en-CA"/>
        </w:rPr>
        <w:t xml:space="preserve"> First, the comments must target at least one of the protected groups enumerated in the regulation. The enumerated </w:t>
      </w:r>
      <w:r w:rsidR="00071351" w:rsidRPr="0065125A">
        <w:rPr>
          <w:rFonts w:cstheme="minorHAnsi"/>
          <w:lang w:val="en-CA"/>
        </w:rPr>
        <w:t xml:space="preserve">groups or </w:t>
      </w:r>
      <w:r w:rsidR="00ED280C" w:rsidRPr="0065125A">
        <w:rPr>
          <w:rFonts w:cstheme="minorHAnsi"/>
          <w:lang w:val="en-CA"/>
        </w:rPr>
        <w:t>classes</w:t>
      </w:r>
      <w:r w:rsidR="00071351" w:rsidRPr="0065125A">
        <w:rPr>
          <w:rFonts w:cstheme="minorHAnsi"/>
          <w:lang w:val="en-CA"/>
        </w:rPr>
        <w:t xml:space="preserve"> of individuals are protected </w:t>
      </w:r>
      <w:r w:rsidR="00ED280C" w:rsidRPr="0065125A">
        <w:rPr>
          <w:rFonts w:cstheme="minorHAnsi"/>
          <w:lang w:val="en-CA"/>
        </w:rPr>
        <w:t>based on</w:t>
      </w:r>
      <w:r w:rsidR="00071351" w:rsidRPr="0065125A">
        <w:rPr>
          <w:rFonts w:cstheme="minorHAnsi"/>
          <w:lang w:val="en-CA"/>
        </w:rPr>
        <w:t xml:space="preserve"> race, national or ethnic origin, colour, religion, sex, sexual orientation, age or mental or physical disability.</w:t>
      </w:r>
      <w:r w:rsidR="00071351" w:rsidRPr="0065125A">
        <w:rPr>
          <w:rStyle w:val="FootnoteReference"/>
          <w:rFonts w:cstheme="minorHAnsi"/>
          <w:lang w:val="en-CA"/>
        </w:rPr>
        <w:footnoteReference w:id="41"/>
      </w:r>
      <w:r w:rsidR="008974CD" w:rsidRPr="0065125A">
        <w:rPr>
          <w:rFonts w:cstheme="minorHAnsi"/>
          <w:lang w:val="en-CA"/>
        </w:rPr>
        <w:t xml:space="preserve"> Second, the comments must be abusive. Unfortunately, </w:t>
      </w:r>
      <w:r w:rsidR="00793D05" w:rsidRPr="0065125A">
        <w:rPr>
          <w:rFonts w:cstheme="minorHAnsi"/>
          <w:lang w:val="en-CA"/>
        </w:rPr>
        <w:t xml:space="preserve">what is ‘abusive’ is not clearly defined and will be discussed further below. Third, </w:t>
      </w:r>
      <w:r w:rsidR="00490A0C" w:rsidRPr="0065125A">
        <w:rPr>
          <w:rFonts w:cstheme="minorHAnsi"/>
          <w:lang w:val="en-CA"/>
        </w:rPr>
        <w:t>when taken in context</w:t>
      </w:r>
      <w:r w:rsidR="00ED280C" w:rsidRPr="0065125A">
        <w:rPr>
          <w:rFonts w:cstheme="minorHAnsi"/>
          <w:lang w:val="en-CA"/>
        </w:rPr>
        <w:t>,</w:t>
      </w:r>
      <w:r w:rsidR="00490A0C" w:rsidRPr="0065125A">
        <w:rPr>
          <w:rFonts w:cstheme="minorHAnsi"/>
          <w:lang w:val="en-CA"/>
        </w:rPr>
        <w:t xml:space="preserve"> the comments must be likely to expose an individual or group of individuals to hatred or contempt.</w:t>
      </w:r>
      <w:r w:rsidR="005E1989" w:rsidRPr="0065125A">
        <w:rPr>
          <w:rStyle w:val="FootnoteReference"/>
          <w:rFonts w:cstheme="minorHAnsi"/>
          <w:lang w:val="en-CA"/>
        </w:rPr>
        <w:footnoteReference w:id="42"/>
      </w:r>
    </w:p>
    <w:p w14:paraId="3578B1D6" w14:textId="1818A410" w:rsidR="0073284D" w:rsidRPr="0065125A" w:rsidRDefault="00D0617B" w:rsidP="00D92400">
      <w:pPr>
        <w:spacing w:line="480" w:lineRule="auto"/>
        <w:ind w:firstLine="720"/>
        <w:rPr>
          <w:rFonts w:cstheme="minorHAnsi"/>
          <w:lang w:val="en-CA"/>
        </w:rPr>
      </w:pPr>
      <w:r w:rsidRPr="0065125A">
        <w:rPr>
          <w:rFonts w:cstheme="minorHAnsi"/>
          <w:lang w:val="en-CA"/>
        </w:rPr>
        <w:t xml:space="preserve">Whether a comment is abusive is a finding of fact based on the surrounding circumstances. </w:t>
      </w:r>
      <w:r w:rsidR="00CC40D4" w:rsidRPr="0065125A">
        <w:rPr>
          <w:rFonts w:cstheme="minorHAnsi"/>
          <w:lang w:val="en-CA"/>
        </w:rPr>
        <w:t xml:space="preserve">As a starting point, abusive comments must be </w:t>
      </w:r>
      <w:r w:rsidR="00E5143D" w:rsidRPr="0065125A">
        <w:rPr>
          <w:rFonts w:cstheme="minorHAnsi"/>
          <w:lang w:val="en-CA"/>
        </w:rPr>
        <w:t>offensive against the protected attributes</w:t>
      </w:r>
      <w:r w:rsidR="00CC40D4" w:rsidRPr="0065125A">
        <w:rPr>
          <w:rFonts w:cstheme="minorHAnsi"/>
          <w:lang w:val="en-CA"/>
        </w:rPr>
        <w:t xml:space="preserve"> listed in s.5(1)(b)</w:t>
      </w:r>
      <w:r w:rsidR="00891D08" w:rsidRPr="0065125A">
        <w:rPr>
          <w:rFonts w:cstheme="minorHAnsi"/>
          <w:lang w:val="en-CA"/>
        </w:rPr>
        <w:t>: race, national or ethnic origin, colour, religion, sex, sexual orientation, age or mental or physical disability.</w:t>
      </w:r>
      <w:r w:rsidR="00CC40D4" w:rsidRPr="0065125A">
        <w:rPr>
          <w:rFonts w:cstheme="minorHAnsi"/>
          <w:lang w:val="en-CA"/>
        </w:rPr>
        <w:t xml:space="preserve"> An otherwise untasteful comment, </w:t>
      </w:r>
      <w:r w:rsidR="00891D08" w:rsidRPr="0065125A">
        <w:rPr>
          <w:rFonts w:cstheme="minorHAnsi"/>
          <w:lang w:val="en-CA"/>
        </w:rPr>
        <w:t>no matter how offensive</w:t>
      </w:r>
      <w:r w:rsidR="00ED280C" w:rsidRPr="0065125A">
        <w:rPr>
          <w:rFonts w:cstheme="minorHAnsi"/>
          <w:lang w:val="en-CA"/>
        </w:rPr>
        <w:t>,</w:t>
      </w:r>
      <w:r w:rsidR="00891D08" w:rsidRPr="0065125A">
        <w:rPr>
          <w:rFonts w:cstheme="minorHAnsi"/>
          <w:lang w:val="en-CA"/>
        </w:rPr>
        <w:t xml:space="preserve"> can’t come under the scope of this provision. For example, </w:t>
      </w:r>
      <w:r w:rsidR="00AA4C26" w:rsidRPr="0065125A">
        <w:rPr>
          <w:rFonts w:cstheme="minorHAnsi"/>
          <w:lang w:val="en-CA"/>
        </w:rPr>
        <w:t xml:space="preserve">calling for violence against a politician </w:t>
      </w:r>
      <w:r w:rsidR="00E07025" w:rsidRPr="0065125A">
        <w:rPr>
          <w:rFonts w:cstheme="minorHAnsi"/>
          <w:lang w:val="en-CA"/>
        </w:rPr>
        <w:t>because</w:t>
      </w:r>
      <w:r w:rsidR="00AA4C26" w:rsidRPr="0065125A">
        <w:rPr>
          <w:rFonts w:cstheme="minorHAnsi"/>
          <w:lang w:val="en-CA"/>
        </w:rPr>
        <w:t xml:space="preserve"> they are a ‘communist</w:t>
      </w:r>
      <w:r w:rsidR="00992ED7" w:rsidRPr="0065125A">
        <w:rPr>
          <w:rFonts w:cstheme="minorHAnsi"/>
          <w:lang w:val="en-CA"/>
        </w:rPr>
        <w:t>’ will not violate this provision.</w:t>
      </w:r>
      <w:r w:rsidR="00992ED7" w:rsidRPr="0065125A">
        <w:rPr>
          <w:rStyle w:val="FootnoteReference"/>
          <w:rFonts w:cstheme="minorHAnsi"/>
          <w:lang w:val="en-CA"/>
        </w:rPr>
        <w:footnoteReference w:id="43"/>
      </w:r>
      <w:r w:rsidR="00E10413" w:rsidRPr="0065125A">
        <w:rPr>
          <w:rFonts w:cstheme="minorHAnsi"/>
          <w:lang w:val="en-CA"/>
        </w:rPr>
        <w:t xml:space="preserve"> </w:t>
      </w:r>
      <w:r w:rsidR="00D62094" w:rsidRPr="0065125A">
        <w:rPr>
          <w:rFonts w:cstheme="minorHAnsi"/>
          <w:lang w:val="en-CA"/>
        </w:rPr>
        <w:t>Second, the comment must be</w:t>
      </w:r>
      <w:r w:rsidR="00766371" w:rsidRPr="0065125A">
        <w:rPr>
          <w:rFonts w:cstheme="minorHAnsi"/>
          <w:lang w:val="en-CA"/>
        </w:rPr>
        <w:t xml:space="preserve"> inherently</w:t>
      </w:r>
      <w:r w:rsidR="00F74B62" w:rsidRPr="0065125A">
        <w:rPr>
          <w:rFonts w:cstheme="minorHAnsi"/>
          <w:lang w:val="en-CA"/>
        </w:rPr>
        <w:t xml:space="preserve"> capable of being</w:t>
      </w:r>
      <w:r w:rsidR="00766371" w:rsidRPr="0065125A">
        <w:rPr>
          <w:rFonts w:cstheme="minorHAnsi"/>
          <w:lang w:val="en-CA"/>
        </w:rPr>
        <w:t xml:space="preserve"> abusive. For example, the term ‘nigger gangs’ was considered in a CRTC decision to be inherently</w:t>
      </w:r>
      <w:r w:rsidR="00F74B62" w:rsidRPr="0065125A">
        <w:rPr>
          <w:rFonts w:cstheme="minorHAnsi"/>
          <w:lang w:val="en-CA"/>
        </w:rPr>
        <w:t xml:space="preserve"> capable of being</w:t>
      </w:r>
      <w:r w:rsidR="00766371" w:rsidRPr="0065125A">
        <w:rPr>
          <w:rFonts w:cstheme="minorHAnsi"/>
          <w:lang w:val="en-CA"/>
        </w:rPr>
        <w:t xml:space="preserve"> </w:t>
      </w:r>
      <w:r w:rsidR="00F74B62" w:rsidRPr="0065125A">
        <w:rPr>
          <w:rFonts w:cstheme="minorHAnsi"/>
          <w:lang w:val="en-CA"/>
        </w:rPr>
        <w:t>abusive based on its historical use in a discriminatory, demeaning an</w:t>
      </w:r>
      <w:r w:rsidR="00333B5B" w:rsidRPr="0065125A">
        <w:rPr>
          <w:rFonts w:cstheme="minorHAnsi"/>
          <w:lang w:val="en-CA"/>
        </w:rPr>
        <w:t>d</w:t>
      </w:r>
      <w:r w:rsidR="00F74B62" w:rsidRPr="0065125A">
        <w:rPr>
          <w:rFonts w:cstheme="minorHAnsi"/>
          <w:lang w:val="en-CA"/>
        </w:rPr>
        <w:t xml:space="preserve"> abusive manner.</w:t>
      </w:r>
      <w:r w:rsidR="00333B5B" w:rsidRPr="0065125A">
        <w:rPr>
          <w:rStyle w:val="FootnoteReference"/>
          <w:rFonts w:cstheme="minorHAnsi"/>
          <w:lang w:val="en-CA"/>
        </w:rPr>
        <w:footnoteReference w:id="44"/>
      </w:r>
      <w:r w:rsidR="0008343C" w:rsidRPr="0065125A">
        <w:rPr>
          <w:rFonts w:cstheme="minorHAnsi"/>
          <w:lang w:val="en-CA"/>
        </w:rPr>
        <w:t xml:space="preserve"> Third, the </w:t>
      </w:r>
      <w:r w:rsidR="0008343C" w:rsidRPr="0065125A">
        <w:rPr>
          <w:rFonts w:cstheme="minorHAnsi"/>
          <w:lang w:val="en-CA"/>
        </w:rPr>
        <w:lastRenderedPageBreak/>
        <w:t>abusive comment must be abusive in its context</w:t>
      </w:r>
      <w:r w:rsidR="00D55229" w:rsidRPr="0065125A">
        <w:rPr>
          <w:rFonts w:cstheme="minorHAnsi"/>
          <w:lang w:val="en-CA"/>
        </w:rPr>
        <w:t xml:space="preserve"> and tend to or likely to expose an individual or group or class of individuals to hatred or contempt.</w:t>
      </w:r>
      <w:r w:rsidR="00D55229" w:rsidRPr="0065125A">
        <w:rPr>
          <w:rStyle w:val="FootnoteReference"/>
          <w:rFonts w:cstheme="minorHAnsi"/>
          <w:lang w:val="en-CA"/>
        </w:rPr>
        <w:footnoteReference w:id="45"/>
      </w:r>
      <w:r w:rsidR="00E01372" w:rsidRPr="0065125A">
        <w:rPr>
          <w:rFonts w:cstheme="minorHAnsi"/>
          <w:lang w:val="en-CA"/>
        </w:rPr>
        <w:t xml:space="preserve"> </w:t>
      </w:r>
      <w:r w:rsidR="00A465BA" w:rsidRPr="0065125A">
        <w:rPr>
          <w:rFonts w:cstheme="minorHAnsi"/>
          <w:lang w:val="en-CA"/>
        </w:rPr>
        <w:t>T</w:t>
      </w:r>
      <w:r w:rsidR="00E01372" w:rsidRPr="0065125A">
        <w:rPr>
          <w:rFonts w:cstheme="minorHAnsi"/>
          <w:lang w:val="en-CA"/>
        </w:rPr>
        <w:t xml:space="preserve">he term ‘nigger gangs’ would not be abusive in its context if it was </w:t>
      </w:r>
      <w:r w:rsidR="00A465BA" w:rsidRPr="0065125A">
        <w:rPr>
          <w:rFonts w:cstheme="minorHAnsi"/>
          <w:lang w:val="en-CA"/>
        </w:rPr>
        <w:t xml:space="preserve">used by members of the protected group when referring to themselves. For example, </w:t>
      </w:r>
      <w:r w:rsidR="00F9007B" w:rsidRPr="0065125A">
        <w:rPr>
          <w:rFonts w:cstheme="minorHAnsi"/>
          <w:lang w:val="en-CA"/>
        </w:rPr>
        <w:t xml:space="preserve">if </w:t>
      </w:r>
      <w:r w:rsidR="004026EC" w:rsidRPr="0065125A">
        <w:rPr>
          <w:rFonts w:cstheme="minorHAnsi"/>
          <w:lang w:val="en-CA"/>
        </w:rPr>
        <w:t>a black Haitian person used that term in Haitian Creole</w:t>
      </w:r>
      <w:r w:rsidR="00F9007B" w:rsidRPr="0065125A">
        <w:rPr>
          <w:rFonts w:cstheme="minorHAnsi"/>
          <w:lang w:val="en-CA"/>
        </w:rPr>
        <w:t>, that would be a relevant context where the comment is not abusive.</w:t>
      </w:r>
      <w:r w:rsidR="00F9007B" w:rsidRPr="0065125A">
        <w:rPr>
          <w:rStyle w:val="FootnoteReference"/>
          <w:rFonts w:cstheme="minorHAnsi"/>
          <w:lang w:val="en-CA"/>
        </w:rPr>
        <w:footnoteReference w:id="46"/>
      </w:r>
      <w:r w:rsidR="00F9007B" w:rsidRPr="0065125A">
        <w:rPr>
          <w:rFonts w:cstheme="minorHAnsi"/>
          <w:lang w:val="en-CA"/>
        </w:rPr>
        <w:t xml:space="preserve"> Other relevant context i</w:t>
      </w:r>
      <w:r w:rsidR="00C317DB" w:rsidRPr="0065125A">
        <w:rPr>
          <w:rFonts w:cstheme="minorHAnsi"/>
          <w:lang w:val="en-CA"/>
        </w:rPr>
        <w:t>ncludes the manner in which the comment was made within the program. For example, if the program host</w:t>
      </w:r>
      <w:r w:rsidR="00E0238F" w:rsidRPr="0065125A">
        <w:rPr>
          <w:rFonts w:cstheme="minorHAnsi"/>
          <w:lang w:val="en-CA"/>
        </w:rPr>
        <w:t xml:space="preserve"> </w:t>
      </w:r>
      <w:r w:rsidR="00B55562" w:rsidRPr="0065125A">
        <w:rPr>
          <w:rFonts w:cstheme="minorHAnsi"/>
          <w:lang w:val="en-CA"/>
        </w:rPr>
        <w:t xml:space="preserve">in his own presentation used respectful words such as ‘black gangs’ but </w:t>
      </w:r>
      <w:r w:rsidR="00CA47D6" w:rsidRPr="0065125A">
        <w:rPr>
          <w:rFonts w:cstheme="minorHAnsi"/>
          <w:lang w:val="en-CA"/>
        </w:rPr>
        <w:t>quoted</w:t>
      </w:r>
      <w:r w:rsidR="00B55562" w:rsidRPr="0065125A">
        <w:rPr>
          <w:rFonts w:cstheme="minorHAnsi"/>
          <w:lang w:val="en-CA"/>
        </w:rPr>
        <w:t xml:space="preserve"> </w:t>
      </w:r>
      <w:r w:rsidR="00C95665" w:rsidRPr="0065125A">
        <w:rPr>
          <w:rFonts w:cstheme="minorHAnsi"/>
          <w:lang w:val="en-CA"/>
        </w:rPr>
        <w:t>the journalistic work or research of another author that uses the term ‘nigger gangs,’ that would be</w:t>
      </w:r>
      <w:r w:rsidR="00040D15" w:rsidRPr="0065125A">
        <w:rPr>
          <w:rFonts w:cstheme="minorHAnsi"/>
          <w:lang w:val="en-CA"/>
        </w:rPr>
        <w:t xml:space="preserve"> </w:t>
      </w:r>
      <w:r w:rsidR="009A5C3F" w:rsidRPr="0065125A">
        <w:rPr>
          <w:rFonts w:cstheme="minorHAnsi"/>
          <w:lang w:val="en-CA"/>
        </w:rPr>
        <w:t xml:space="preserve">the </w:t>
      </w:r>
      <w:r w:rsidR="00CA47D6" w:rsidRPr="0065125A">
        <w:rPr>
          <w:rFonts w:cstheme="minorHAnsi"/>
          <w:lang w:val="en-CA"/>
        </w:rPr>
        <w:t>relevant</w:t>
      </w:r>
      <w:r w:rsidR="00566F99" w:rsidRPr="0065125A">
        <w:rPr>
          <w:rFonts w:cstheme="minorHAnsi"/>
          <w:lang w:val="en-CA"/>
        </w:rPr>
        <w:t xml:space="preserve"> </w:t>
      </w:r>
      <w:r w:rsidR="00040D15" w:rsidRPr="0065125A">
        <w:rPr>
          <w:rFonts w:cstheme="minorHAnsi"/>
          <w:lang w:val="en-CA"/>
        </w:rPr>
        <w:t xml:space="preserve">context that shows the author likely made a momentary lapse and did not </w:t>
      </w:r>
      <w:r w:rsidR="00422646" w:rsidRPr="0065125A">
        <w:rPr>
          <w:rFonts w:cstheme="minorHAnsi"/>
          <w:lang w:val="en-CA"/>
        </w:rPr>
        <w:t>intend</w:t>
      </w:r>
      <w:r w:rsidR="00040D15" w:rsidRPr="0065125A">
        <w:rPr>
          <w:rFonts w:cstheme="minorHAnsi"/>
          <w:lang w:val="en-CA"/>
        </w:rPr>
        <w:t xml:space="preserve"> to </w:t>
      </w:r>
      <w:r w:rsidR="00566F99" w:rsidRPr="0065125A">
        <w:rPr>
          <w:rFonts w:cstheme="minorHAnsi"/>
          <w:lang w:val="en-CA"/>
        </w:rPr>
        <w:t>perpetuate</w:t>
      </w:r>
      <w:r w:rsidR="00040D15" w:rsidRPr="0065125A">
        <w:rPr>
          <w:rFonts w:cstheme="minorHAnsi"/>
          <w:lang w:val="en-CA"/>
        </w:rPr>
        <w:t xml:space="preserve"> abuse towards the protected group.</w:t>
      </w:r>
      <w:r w:rsidR="0084196A" w:rsidRPr="0065125A">
        <w:rPr>
          <w:rFonts w:cstheme="minorHAnsi"/>
          <w:lang w:val="en-CA"/>
        </w:rPr>
        <w:t xml:space="preserve"> Similarly, if the abusive term appears in a talk show generally of an irreverent character</w:t>
      </w:r>
      <w:r w:rsidR="00CA47D6" w:rsidRPr="0065125A">
        <w:rPr>
          <w:rFonts w:cstheme="minorHAnsi"/>
          <w:lang w:val="en-CA"/>
        </w:rPr>
        <w:t>,</w:t>
      </w:r>
      <w:r w:rsidR="0084196A" w:rsidRPr="0065125A">
        <w:rPr>
          <w:rFonts w:cstheme="minorHAnsi"/>
          <w:lang w:val="en-CA"/>
        </w:rPr>
        <w:t xml:space="preserve"> that can also indicate that the program did not </w:t>
      </w:r>
      <w:r w:rsidR="007621A2" w:rsidRPr="0065125A">
        <w:rPr>
          <w:rFonts w:cstheme="minorHAnsi"/>
          <w:lang w:val="en-CA"/>
        </w:rPr>
        <w:t>intend</w:t>
      </w:r>
      <w:r w:rsidR="0084196A" w:rsidRPr="0065125A">
        <w:rPr>
          <w:rFonts w:cstheme="minorHAnsi"/>
          <w:lang w:val="en-CA"/>
        </w:rPr>
        <w:t xml:space="preserve"> to encourage abuse towards any specific group.</w:t>
      </w:r>
      <w:r w:rsidR="0084196A" w:rsidRPr="0065125A">
        <w:rPr>
          <w:rStyle w:val="FootnoteReference"/>
          <w:rFonts w:cstheme="minorHAnsi"/>
          <w:lang w:val="en-CA"/>
        </w:rPr>
        <w:footnoteReference w:id="47"/>
      </w:r>
    </w:p>
    <w:p w14:paraId="4F0C07CC" w14:textId="281386A9" w:rsidR="00796CD1" w:rsidRPr="0065125A" w:rsidRDefault="00F16CB8" w:rsidP="00D92400">
      <w:pPr>
        <w:spacing w:line="480" w:lineRule="auto"/>
        <w:ind w:firstLine="720"/>
        <w:rPr>
          <w:rFonts w:cstheme="minorHAnsi"/>
          <w:lang w:val="en-CA"/>
        </w:rPr>
      </w:pPr>
      <w:r w:rsidRPr="0065125A">
        <w:rPr>
          <w:rFonts w:cstheme="minorHAnsi"/>
          <w:lang w:val="en-CA"/>
        </w:rPr>
        <w:t xml:space="preserve">As was discussed in the arguments against RT section, the CRTC </w:t>
      </w:r>
      <w:r w:rsidR="00F21EA0" w:rsidRPr="0065125A">
        <w:rPr>
          <w:rFonts w:cstheme="minorHAnsi"/>
          <w:lang w:val="en-CA"/>
        </w:rPr>
        <w:t>finding of abusive comments</w:t>
      </w:r>
      <w:r w:rsidRPr="0065125A">
        <w:rPr>
          <w:rFonts w:cstheme="minorHAnsi"/>
          <w:lang w:val="en-CA"/>
        </w:rPr>
        <w:t xml:space="preserve"> was based upon</w:t>
      </w:r>
      <w:r w:rsidR="00525439" w:rsidRPr="0065125A">
        <w:rPr>
          <w:rFonts w:cstheme="minorHAnsi"/>
          <w:lang w:val="en-CA"/>
        </w:rPr>
        <w:t xml:space="preserve"> submissions that showed RT and RT’s parent media </w:t>
      </w:r>
      <w:r w:rsidR="00765E2B" w:rsidRPr="0065125A">
        <w:rPr>
          <w:rFonts w:cstheme="minorHAnsi"/>
          <w:lang w:val="en-CA"/>
        </w:rPr>
        <w:t>produced programs that likened Ukrainians to Nazis</w:t>
      </w:r>
      <w:r w:rsidR="001D6ECB" w:rsidRPr="0065125A">
        <w:rPr>
          <w:rFonts w:cstheme="minorHAnsi"/>
          <w:lang w:val="en-CA"/>
        </w:rPr>
        <w:t xml:space="preserve"> and </w:t>
      </w:r>
      <w:r w:rsidR="001D3DC1" w:rsidRPr="0065125A">
        <w:rPr>
          <w:rFonts w:cstheme="minorHAnsi"/>
          <w:lang w:val="en-CA"/>
        </w:rPr>
        <w:t>did sow anti-Ukrainian sentiments in Russia</w:t>
      </w:r>
      <w:r w:rsidR="001D6ECB" w:rsidRPr="0065125A">
        <w:rPr>
          <w:rFonts w:cstheme="minorHAnsi"/>
          <w:lang w:val="en-CA"/>
        </w:rPr>
        <w:t>. There was also evidence that RT or its parent media</w:t>
      </w:r>
      <w:r w:rsidR="007749EE" w:rsidRPr="0065125A">
        <w:rPr>
          <w:rFonts w:cstheme="minorHAnsi"/>
          <w:lang w:val="en-CA"/>
        </w:rPr>
        <w:t xml:space="preserve"> historically encouraged violence against the LGBTQ community.</w:t>
      </w:r>
      <w:r w:rsidR="00577729" w:rsidRPr="0065125A">
        <w:rPr>
          <w:rFonts w:cstheme="minorHAnsi"/>
          <w:lang w:val="en-CA"/>
        </w:rPr>
        <w:t xml:space="preserve"> </w:t>
      </w:r>
      <w:r w:rsidR="002D306C" w:rsidRPr="0065125A">
        <w:rPr>
          <w:rFonts w:cstheme="minorHAnsi"/>
          <w:lang w:val="en-CA"/>
        </w:rPr>
        <w:t xml:space="preserve">There is no doubt that </w:t>
      </w:r>
      <w:r w:rsidR="00592C3C" w:rsidRPr="0065125A">
        <w:rPr>
          <w:rFonts w:cstheme="minorHAnsi"/>
          <w:lang w:val="en-CA"/>
        </w:rPr>
        <w:t xml:space="preserve">such programming would constitute abusive </w:t>
      </w:r>
      <w:r w:rsidR="00FA00B5" w:rsidRPr="0065125A">
        <w:rPr>
          <w:rFonts w:cstheme="minorHAnsi"/>
          <w:lang w:val="en-CA"/>
        </w:rPr>
        <w:t>comments</w:t>
      </w:r>
      <w:r w:rsidR="00592C3C" w:rsidRPr="0065125A">
        <w:rPr>
          <w:rFonts w:cstheme="minorHAnsi"/>
          <w:lang w:val="en-CA"/>
        </w:rPr>
        <w:t xml:space="preserve"> </w:t>
      </w:r>
      <w:r w:rsidR="00376893" w:rsidRPr="0065125A">
        <w:rPr>
          <w:rFonts w:cstheme="minorHAnsi"/>
          <w:lang w:val="en-CA"/>
        </w:rPr>
        <w:t xml:space="preserve">under the framework explained above. The </w:t>
      </w:r>
      <w:r w:rsidR="009C6897" w:rsidRPr="0065125A">
        <w:rPr>
          <w:rFonts w:cstheme="minorHAnsi"/>
          <w:lang w:val="en-CA"/>
        </w:rPr>
        <w:t xml:space="preserve">abusive </w:t>
      </w:r>
      <w:r w:rsidR="00376893" w:rsidRPr="0065125A">
        <w:rPr>
          <w:rFonts w:cstheme="minorHAnsi"/>
          <w:lang w:val="en-CA"/>
        </w:rPr>
        <w:t xml:space="preserve">comments </w:t>
      </w:r>
      <w:r w:rsidR="009C6897" w:rsidRPr="0065125A">
        <w:rPr>
          <w:rFonts w:cstheme="minorHAnsi"/>
          <w:lang w:val="en-CA"/>
        </w:rPr>
        <w:t xml:space="preserve">at Ukrainians </w:t>
      </w:r>
      <w:r w:rsidR="00376893" w:rsidRPr="0065125A">
        <w:rPr>
          <w:rFonts w:cstheme="minorHAnsi"/>
          <w:lang w:val="en-CA"/>
        </w:rPr>
        <w:t xml:space="preserve">are targeted at protected groups based </w:t>
      </w:r>
      <w:r w:rsidR="00E74AAD" w:rsidRPr="0065125A">
        <w:rPr>
          <w:rFonts w:cstheme="minorHAnsi"/>
          <w:lang w:val="en-CA"/>
        </w:rPr>
        <w:t>on</w:t>
      </w:r>
      <w:r w:rsidR="00376893" w:rsidRPr="0065125A">
        <w:rPr>
          <w:rFonts w:cstheme="minorHAnsi"/>
          <w:lang w:val="en-CA"/>
        </w:rPr>
        <w:t xml:space="preserve"> their </w:t>
      </w:r>
      <w:r w:rsidR="009C6897" w:rsidRPr="0065125A">
        <w:rPr>
          <w:rFonts w:cstheme="minorHAnsi"/>
          <w:lang w:val="en-CA"/>
        </w:rPr>
        <w:t xml:space="preserve">national origin. Allegations of Nazism and perpetuation of crimes against humanity against civilians such as </w:t>
      </w:r>
      <w:r w:rsidR="00020702" w:rsidRPr="0065125A">
        <w:rPr>
          <w:rFonts w:cstheme="minorHAnsi"/>
          <w:lang w:val="en-CA"/>
        </w:rPr>
        <w:t xml:space="preserve">refugees and minorities are inherently capable of being abusive. Furthermore, the context in which these programs aired suggests that </w:t>
      </w:r>
      <w:r w:rsidR="00185B8B" w:rsidRPr="0065125A">
        <w:rPr>
          <w:rFonts w:cstheme="minorHAnsi"/>
          <w:lang w:val="en-CA"/>
        </w:rPr>
        <w:t xml:space="preserve">the goal is to </w:t>
      </w:r>
      <w:r w:rsidR="000C57D6" w:rsidRPr="0065125A">
        <w:rPr>
          <w:rFonts w:cstheme="minorHAnsi"/>
          <w:lang w:val="en-CA"/>
        </w:rPr>
        <w:t xml:space="preserve">expose Ukrainians to hatred or contempt to justify Russian actions. </w:t>
      </w:r>
      <w:r w:rsidR="00A04909" w:rsidRPr="0065125A">
        <w:rPr>
          <w:rFonts w:cstheme="minorHAnsi"/>
          <w:lang w:val="en-CA"/>
        </w:rPr>
        <w:t xml:space="preserve">Under the reasonableness standard, there is sufficient evidence to justify CRTC’s finding of </w:t>
      </w:r>
      <w:r w:rsidR="00D31199" w:rsidRPr="0065125A">
        <w:rPr>
          <w:rFonts w:cstheme="minorHAnsi"/>
          <w:lang w:val="en-CA"/>
        </w:rPr>
        <w:t xml:space="preserve">abusive </w:t>
      </w:r>
      <w:r w:rsidR="005C6E3B" w:rsidRPr="0065125A">
        <w:rPr>
          <w:rFonts w:cstheme="minorHAnsi"/>
          <w:lang w:val="en-CA"/>
        </w:rPr>
        <w:lastRenderedPageBreak/>
        <w:t>comments</w:t>
      </w:r>
      <w:r w:rsidR="00D31199" w:rsidRPr="0065125A">
        <w:rPr>
          <w:rFonts w:cstheme="minorHAnsi"/>
          <w:lang w:val="en-CA"/>
        </w:rPr>
        <w:t xml:space="preserve"> against Ukrainians in particular. The utility and merits of </w:t>
      </w:r>
      <w:r w:rsidR="003450B9" w:rsidRPr="0065125A">
        <w:rPr>
          <w:rFonts w:cstheme="minorHAnsi"/>
          <w:lang w:val="en-CA"/>
        </w:rPr>
        <w:t xml:space="preserve">old RT programs </w:t>
      </w:r>
      <w:r w:rsidR="004649A6" w:rsidRPr="0065125A">
        <w:rPr>
          <w:rFonts w:cstheme="minorHAnsi"/>
          <w:lang w:val="en-CA"/>
        </w:rPr>
        <w:t xml:space="preserve">aired almost </w:t>
      </w:r>
      <w:r w:rsidR="00126161" w:rsidRPr="0065125A">
        <w:rPr>
          <w:rFonts w:cstheme="minorHAnsi"/>
          <w:lang w:val="en-CA"/>
        </w:rPr>
        <w:t>ten</w:t>
      </w:r>
      <w:r w:rsidR="004649A6" w:rsidRPr="0065125A">
        <w:rPr>
          <w:rFonts w:cstheme="minorHAnsi"/>
          <w:lang w:val="en-CA"/>
        </w:rPr>
        <w:t xml:space="preserve"> years ago could be explored further. However, it should be reasonable to include old RT programs </w:t>
      </w:r>
      <w:r w:rsidR="00B651C6" w:rsidRPr="0065125A">
        <w:rPr>
          <w:rFonts w:cstheme="minorHAnsi"/>
          <w:lang w:val="en-CA"/>
        </w:rPr>
        <w:t>targeting Ukrainians because</w:t>
      </w:r>
      <w:r w:rsidR="009E7E48" w:rsidRPr="0065125A">
        <w:rPr>
          <w:rFonts w:cstheme="minorHAnsi"/>
          <w:lang w:val="en-CA"/>
        </w:rPr>
        <w:t xml:space="preserve"> of the ongoing nature and context of the Russian – Ukrainian conflict. </w:t>
      </w:r>
      <w:r w:rsidR="00CD67D5" w:rsidRPr="0065125A">
        <w:rPr>
          <w:rFonts w:cstheme="minorHAnsi"/>
          <w:lang w:val="en-CA"/>
        </w:rPr>
        <w:t xml:space="preserve">What might be </w:t>
      </w:r>
      <w:r w:rsidR="00E74AAD" w:rsidRPr="0065125A">
        <w:rPr>
          <w:rFonts w:cstheme="minorHAnsi"/>
          <w:lang w:val="en-CA"/>
        </w:rPr>
        <w:t xml:space="preserve">an </w:t>
      </w:r>
      <w:r w:rsidR="00CD67D5" w:rsidRPr="0065125A">
        <w:rPr>
          <w:rFonts w:cstheme="minorHAnsi"/>
          <w:lang w:val="en-CA"/>
        </w:rPr>
        <w:t>over</w:t>
      </w:r>
      <w:r w:rsidR="00BE1FE5" w:rsidRPr="0065125A">
        <w:rPr>
          <w:rFonts w:cstheme="minorHAnsi"/>
          <w:lang w:val="en-CA"/>
        </w:rPr>
        <w:t xml:space="preserve">riding and </w:t>
      </w:r>
      <w:r w:rsidR="008634B8" w:rsidRPr="0065125A">
        <w:rPr>
          <w:rFonts w:cstheme="minorHAnsi"/>
          <w:lang w:val="en-CA"/>
        </w:rPr>
        <w:t>palpable error</w:t>
      </w:r>
      <w:r w:rsidR="00BE1FE5" w:rsidRPr="0065125A">
        <w:rPr>
          <w:rFonts w:cstheme="minorHAnsi"/>
          <w:lang w:val="en-CA"/>
        </w:rPr>
        <w:t xml:space="preserve"> </w:t>
      </w:r>
      <w:r w:rsidR="008634B8" w:rsidRPr="0065125A">
        <w:rPr>
          <w:rFonts w:cstheme="minorHAnsi"/>
          <w:lang w:val="en-CA"/>
        </w:rPr>
        <w:t xml:space="preserve">is attributing programs </w:t>
      </w:r>
      <w:r w:rsidR="00CD0542" w:rsidRPr="0065125A">
        <w:rPr>
          <w:rFonts w:cstheme="minorHAnsi"/>
          <w:lang w:val="en-CA"/>
        </w:rPr>
        <w:t>only aired at RT’s parent media to RT</w:t>
      </w:r>
      <w:r w:rsidR="00584C68" w:rsidRPr="0065125A">
        <w:rPr>
          <w:rFonts w:cstheme="minorHAnsi"/>
          <w:lang w:val="en-CA"/>
        </w:rPr>
        <w:t>. It would have been a better</w:t>
      </w:r>
      <w:r w:rsidR="00435FF8" w:rsidRPr="0065125A">
        <w:rPr>
          <w:rFonts w:cstheme="minorHAnsi"/>
          <w:lang w:val="en-CA"/>
        </w:rPr>
        <w:t xml:space="preserve">-reasoned decision if the decision </w:t>
      </w:r>
      <w:r w:rsidR="00996C00" w:rsidRPr="0065125A">
        <w:rPr>
          <w:rFonts w:cstheme="minorHAnsi"/>
          <w:lang w:val="en-CA"/>
        </w:rPr>
        <w:t>had been</w:t>
      </w:r>
      <w:r w:rsidR="00435FF8" w:rsidRPr="0065125A">
        <w:rPr>
          <w:rFonts w:cstheme="minorHAnsi"/>
          <w:lang w:val="en-CA"/>
        </w:rPr>
        <w:t xml:space="preserve"> made only upon RT’s international programming. Ho</w:t>
      </w:r>
      <w:r w:rsidR="00602EE5" w:rsidRPr="0065125A">
        <w:rPr>
          <w:rFonts w:cstheme="minorHAnsi"/>
          <w:lang w:val="en-CA"/>
        </w:rPr>
        <w:t>w</w:t>
      </w:r>
      <w:r w:rsidR="00435FF8" w:rsidRPr="0065125A">
        <w:rPr>
          <w:rFonts w:cstheme="minorHAnsi"/>
          <w:lang w:val="en-CA"/>
        </w:rPr>
        <w:t>ever, there</w:t>
      </w:r>
      <w:r w:rsidR="00602EE5" w:rsidRPr="0065125A">
        <w:rPr>
          <w:rFonts w:cstheme="minorHAnsi"/>
          <w:lang w:val="en-CA"/>
        </w:rPr>
        <w:t xml:space="preserve"> is evidence that RT doesn’t have real editorial independence</w:t>
      </w:r>
      <w:r w:rsidR="00996C00" w:rsidRPr="0065125A">
        <w:rPr>
          <w:rFonts w:cstheme="minorHAnsi"/>
          <w:lang w:val="en-CA"/>
        </w:rPr>
        <w:t>,</w:t>
      </w:r>
      <w:r w:rsidR="00602EE5" w:rsidRPr="0065125A">
        <w:rPr>
          <w:rFonts w:cstheme="minorHAnsi"/>
          <w:lang w:val="en-CA"/>
        </w:rPr>
        <w:t xml:space="preserve"> and it is part of the general Russian media offensive against</w:t>
      </w:r>
      <w:r w:rsidR="00FF439C" w:rsidRPr="0065125A">
        <w:rPr>
          <w:rFonts w:cstheme="minorHAnsi"/>
          <w:lang w:val="en-CA"/>
        </w:rPr>
        <w:t xml:space="preserve"> Ukraine. Th</w:t>
      </w:r>
      <w:r w:rsidR="00002154" w:rsidRPr="0065125A">
        <w:rPr>
          <w:rFonts w:cstheme="minorHAnsi"/>
          <w:lang w:val="en-CA"/>
        </w:rPr>
        <w:t xml:space="preserve">ere is probably enough linkage between RT and its parent media that </w:t>
      </w:r>
      <w:r w:rsidR="00500FBA" w:rsidRPr="0065125A">
        <w:rPr>
          <w:rFonts w:cstheme="minorHAnsi"/>
          <w:lang w:val="en-CA"/>
        </w:rPr>
        <w:t xml:space="preserve">it </w:t>
      </w:r>
      <w:r w:rsidR="00F05F23" w:rsidRPr="0065125A">
        <w:rPr>
          <w:rFonts w:cstheme="minorHAnsi"/>
          <w:lang w:val="en-CA"/>
        </w:rPr>
        <w:t>was</w:t>
      </w:r>
      <w:r w:rsidR="00500FBA" w:rsidRPr="0065125A">
        <w:rPr>
          <w:rFonts w:cstheme="minorHAnsi"/>
          <w:lang w:val="en-CA"/>
        </w:rPr>
        <w:t xml:space="preserve"> reasonable to take into account </w:t>
      </w:r>
      <w:r w:rsidR="00F05F23" w:rsidRPr="0065125A">
        <w:rPr>
          <w:rFonts w:cstheme="minorHAnsi"/>
          <w:lang w:val="en-CA"/>
        </w:rPr>
        <w:t xml:space="preserve">the </w:t>
      </w:r>
      <w:r w:rsidR="00500FBA" w:rsidRPr="0065125A">
        <w:rPr>
          <w:rFonts w:cstheme="minorHAnsi"/>
          <w:lang w:val="en-CA"/>
        </w:rPr>
        <w:t xml:space="preserve">programming aired on </w:t>
      </w:r>
      <w:r w:rsidR="008844E0" w:rsidRPr="0065125A">
        <w:rPr>
          <w:rFonts w:cstheme="minorHAnsi"/>
          <w:lang w:val="en-CA"/>
        </w:rPr>
        <w:t xml:space="preserve">the parent media for this CRTC </w:t>
      </w:r>
      <w:r w:rsidR="007A4EE6" w:rsidRPr="0065125A">
        <w:rPr>
          <w:rFonts w:cstheme="minorHAnsi"/>
          <w:lang w:val="en-CA"/>
        </w:rPr>
        <w:t>decision.</w:t>
      </w:r>
      <w:r w:rsidR="00F90D4D" w:rsidRPr="0065125A">
        <w:rPr>
          <w:rFonts w:cstheme="minorHAnsi"/>
          <w:lang w:val="en-CA"/>
        </w:rPr>
        <w:t xml:space="preserve"> </w:t>
      </w:r>
    </w:p>
    <w:p w14:paraId="4B77789F" w14:textId="415B5BC8" w:rsidR="0094639D" w:rsidRPr="0065125A" w:rsidRDefault="00F90D4D" w:rsidP="00D92400">
      <w:pPr>
        <w:spacing w:line="480" w:lineRule="auto"/>
        <w:ind w:firstLine="720"/>
        <w:rPr>
          <w:rFonts w:cstheme="minorHAnsi"/>
          <w:lang w:val="en-CA"/>
        </w:rPr>
      </w:pPr>
      <w:r w:rsidRPr="0065125A">
        <w:rPr>
          <w:rFonts w:cstheme="minorHAnsi"/>
          <w:lang w:val="en-CA"/>
        </w:rPr>
        <w:t xml:space="preserve">The finding that listing RT contravenes public interest is also likely to be </w:t>
      </w:r>
      <w:r w:rsidR="00796CD1" w:rsidRPr="0065125A">
        <w:rPr>
          <w:rFonts w:cstheme="minorHAnsi"/>
          <w:lang w:val="en-CA"/>
        </w:rPr>
        <w:t xml:space="preserve">found reasonable. CRTC sites evidence that RT promoted violence against </w:t>
      </w:r>
      <w:r w:rsidR="00C72915" w:rsidRPr="0065125A">
        <w:rPr>
          <w:rFonts w:cstheme="minorHAnsi"/>
          <w:lang w:val="en-CA"/>
        </w:rPr>
        <w:t xml:space="preserve">the </w:t>
      </w:r>
      <w:r w:rsidR="00796CD1" w:rsidRPr="0065125A">
        <w:rPr>
          <w:rFonts w:cstheme="minorHAnsi"/>
          <w:lang w:val="en-CA"/>
        </w:rPr>
        <w:t xml:space="preserve">Canadian government and democratic establishments. The CRTC decision also </w:t>
      </w:r>
      <w:r w:rsidR="009F5E0D" w:rsidRPr="0065125A">
        <w:rPr>
          <w:rFonts w:cstheme="minorHAnsi"/>
          <w:lang w:val="en-CA"/>
        </w:rPr>
        <w:t xml:space="preserve">refers to the European sanctions that argue </w:t>
      </w:r>
      <w:r w:rsidR="00572FB3" w:rsidRPr="0065125A">
        <w:rPr>
          <w:rFonts w:cstheme="minorHAnsi"/>
          <w:lang w:val="en-CA"/>
        </w:rPr>
        <w:t xml:space="preserve">RT was instrumental in undermining and </w:t>
      </w:r>
      <w:r w:rsidR="00C72915" w:rsidRPr="0065125A">
        <w:rPr>
          <w:rFonts w:cstheme="minorHAnsi"/>
          <w:lang w:val="en-CA"/>
        </w:rPr>
        <w:t>destabilizing</w:t>
      </w:r>
      <w:r w:rsidR="00572FB3" w:rsidRPr="0065125A">
        <w:rPr>
          <w:rFonts w:cstheme="minorHAnsi"/>
          <w:lang w:val="en-CA"/>
        </w:rPr>
        <w:t xml:space="preserve"> countries in Europe and North America, </w:t>
      </w:r>
      <w:r w:rsidR="00C72915" w:rsidRPr="0065125A">
        <w:rPr>
          <w:rFonts w:cstheme="minorHAnsi"/>
          <w:lang w:val="en-CA"/>
        </w:rPr>
        <w:t>villainizing</w:t>
      </w:r>
      <w:r w:rsidR="00572FB3" w:rsidRPr="0065125A">
        <w:rPr>
          <w:rFonts w:cstheme="minorHAnsi"/>
          <w:lang w:val="en-CA"/>
        </w:rPr>
        <w:t xml:space="preserve"> </w:t>
      </w:r>
      <w:r w:rsidR="00473C5D" w:rsidRPr="0065125A">
        <w:rPr>
          <w:rFonts w:cstheme="minorHAnsi"/>
          <w:lang w:val="en-CA"/>
        </w:rPr>
        <w:t xml:space="preserve">NATO, </w:t>
      </w:r>
      <w:r w:rsidR="00C72915" w:rsidRPr="0065125A">
        <w:rPr>
          <w:rFonts w:cstheme="minorHAnsi"/>
          <w:lang w:val="en-CA"/>
        </w:rPr>
        <w:t>intervening</w:t>
      </w:r>
      <w:r w:rsidR="00473C5D" w:rsidRPr="0065125A">
        <w:rPr>
          <w:rFonts w:cstheme="minorHAnsi"/>
          <w:lang w:val="en-CA"/>
        </w:rPr>
        <w:t xml:space="preserve"> with domestic elections</w:t>
      </w:r>
      <w:r w:rsidR="00C72915" w:rsidRPr="0065125A">
        <w:rPr>
          <w:rFonts w:cstheme="minorHAnsi"/>
          <w:lang w:val="en-CA"/>
        </w:rPr>
        <w:t xml:space="preserve"> and promot</w:t>
      </w:r>
      <w:r w:rsidR="00A33075" w:rsidRPr="0065125A">
        <w:rPr>
          <w:rFonts w:cstheme="minorHAnsi"/>
          <w:lang w:val="en-CA"/>
        </w:rPr>
        <w:t>ing conspiracy theories.</w:t>
      </w:r>
      <w:r w:rsidR="0094639D" w:rsidRPr="0065125A">
        <w:rPr>
          <w:rStyle w:val="FootnoteReference"/>
          <w:rFonts w:cstheme="minorHAnsi"/>
          <w:lang w:val="en-CA"/>
        </w:rPr>
        <w:footnoteReference w:id="48"/>
      </w:r>
      <w:r w:rsidR="00A33075" w:rsidRPr="0065125A">
        <w:rPr>
          <w:rFonts w:cstheme="minorHAnsi"/>
          <w:lang w:val="en-CA"/>
        </w:rPr>
        <w:t xml:space="preserve"> The CRTC decision also notes that the Russian government is subject to sanctions and </w:t>
      </w:r>
      <w:r w:rsidR="001B539C" w:rsidRPr="0065125A">
        <w:rPr>
          <w:rFonts w:cstheme="minorHAnsi"/>
          <w:lang w:val="en-CA"/>
        </w:rPr>
        <w:t xml:space="preserve">that the editor-in-chief of RT is </w:t>
      </w:r>
      <w:r w:rsidR="00AA4B07" w:rsidRPr="0065125A">
        <w:rPr>
          <w:rFonts w:cstheme="minorHAnsi"/>
          <w:lang w:val="en-CA"/>
        </w:rPr>
        <w:t>on the list of sanctioned individuals.</w:t>
      </w:r>
      <w:r w:rsidR="0053112B" w:rsidRPr="0065125A">
        <w:rPr>
          <w:rFonts w:cstheme="minorHAnsi"/>
          <w:lang w:val="en-CA"/>
        </w:rPr>
        <w:t xml:space="preserve"> </w:t>
      </w:r>
      <w:r w:rsidR="002443BB" w:rsidRPr="0065125A">
        <w:rPr>
          <w:rFonts w:cstheme="minorHAnsi"/>
          <w:lang w:val="en-CA"/>
        </w:rPr>
        <w:t xml:space="preserve">Based on </w:t>
      </w:r>
      <w:r w:rsidR="00AF42D7" w:rsidRPr="0065125A">
        <w:rPr>
          <w:rFonts w:cstheme="minorHAnsi"/>
          <w:lang w:val="en-CA"/>
        </w:rPr>
        <w:t>this evidence</w:t>
      </w:r>
      <w:r w:rsidR="002443BB" w:rsidRPr="0065125A">
        <w:rPr>
          <w:rFonts w:cstheme="minorHAnsi"/>
          <w:lang w:val="en-CA"/>
        </w:rPr>
        <w:t xml:space="preserve">, it is likely that </w:t>
      </w:r>
      <w:r w:rsidR="00C44731" w:rsidRPr="0065125A">
        <w:rPr>
          <w:rFonts w:cstheme="minorHAnsi"/>
          <w:lang w:val="en-CA"/>
        </w:rPr>
        <w:t xml:space="preserve">CRTC’s finding that </w:t>
      </w:r>
      <w:r w:rsidR="002443BB" w:rsidRPr="0065125A">
        <w:rPr>
          <w:rFonts w:cstheme="minorHAnsi"/>
          <w:lang w:val="en-CA"/>
        </w:rPr>
        <w:t xml:space="preserve">RT’s programming undermines </w:t>
      </w:r>
      <w:r w:rsidR="00AF42D7" w:rsidRPr="0065125A">
        <w:rPr>
          <w:rFonts w:cstheme="minorHAnsi"/>
          <w:lang w:val="en-CA"/>
        </w:rPr>
        <w:t>Canadian public interest</w:t>
      </w:r>
      <w:r w:rsidR="00C44731" w:rsidRPr="0065125A">
        <w:rPr>
          <w:rFonts w:cstheme="minorHAnsi"/>
          <w:lang w:val="en-CA"/>
        </w:rPr>
        <w:t xml:space="preserve"> was reasonable.</w:t>
      </w:r>
      <w:r w:rsidR="001D067B" w:rsidRPr="0065125A">
        <w:rPr>
          <w:rFonts w:cstheme="minorHAnsi"/>
          <w:lang w:val="en-CA"/>
        </w:rPr>
        <w:t xml:space="preserve"> </w:t>
      </w:r>
    </w:p>
    <w:p w14:paraId="1589FFEA" w14:textId="109A46A2" w:rsidR="00CB66AA" w:rsidRPr="0065125A" w:rsidRDefault="007722E7" w:rsidP="00D92400">
      <w:pPr>
        <w:spacing w:line="480" w:lineRule="auto"/>
        <w:ind w:firstLine="720"/>
        <w:rPr>
          <w:rFonts w:cstheme="minorHAnsi"/>
          <w:lang w:val="en-CA"/>
        </w:rPr>
      </w:pPr>
      <w:r w:rsidRPr="0065125A">
        <w:rPr>
          <w:rFonts w:cstheme="minorHAnsi"/>
          <w:lang w:val="en-CA"/>
        </w:rPr>
        <w:t xml:space="preserve">If RT were to challenge CRTC’s jurisdiction to </w:t>
      </w:r>
      <w:r w:rsidR="00AF42D7" w:rsidRPr="0065125A">
        <w:rPr>
          <w:rFonts w:cstheme="minorHAnsi"/>
          <w:lang w:val="en-CA"/>
        </w:rPr>
        <w:t>delist RT</w:t>
      </w:r>
      <w:r w:rsidR="00F05F23" w:rsidRPr="0065125A">
        <w:rPr>
          <w:rFonts w:cstheme="minorHAnsi"/>
          <w:lang w:val="en-CA"/>
        </w:rPr>
        <w:t>,</w:t>
      </w:r>
      <w:r w:rsidR="00C44731" w:rsidRPr="0065125A">
        <w:rPr>
          <w:rFonts w:cstheme="minorHAnsi"/>
          <w:lang w:val="en-CA"/>
        </w:rPr>
        <w:t xml:space="preserve"> that is </w:t>
      </w:r>
      <w:r w:rsidR="001D067B" w:rsidRPr="0065125A">
        <w:rPr>
          <w:rFonts w:cstheme="minorHAnsi"/>
          <w:lang w:val="en-CA"/>
        </w:rPr>
        <w:t>very unlikely to be successful.</w:t>
      </w:r>
      <w:r w:rsidR="002F7012" w:rsidRPr="0065125A">
        <w:rPr>
          <w:rFonts w:cstheme="minorHAnsi"/>
          <w:lang w:val="en-CA"/>
        </w:rPr>
        <w:t xml:space="preserve"> The standard of appeal on questions </w:t>
      </w:r>
      <w:r w:rsidR="005636AB" w:rsidRPr="0065125A">
        <w:rPr>
          <w:rFonts w:cstheme="minorHAnsi"/>
          <w:lang w:val="en-CA"/>
        </w:rPr>
        <w:t>of</w:t>
      </w:r>
      <w:r w:rsidR="002F7012" w:rsidRPr="0065125A">
        <w:rPr>
          <w:rFonts w:cstheme="minorHAnsi"/>
          <w:lang w:val="en-CA"/>
        </w:rPr>
        <w:t xml:space="preserve"> CRTC’s jurisdiction is </w:t>
      </w:r>
      <w:r w:rsidR="005636AB" w:rsidRPr="0065125A">
        <w:rPr>
          <w:rFonts w:cstheme="minorHAnsi"/>
          <w:lang w:val="en-CA"/>
        </w:rPr>
        <w:t>subject to the correctness standard.</w:t>
      </w:r>
      <w:r w:rsidR="005636AB" w:rsidRPr="0065125A">
        <w:rPr>
          <w:rStyle w:val="FootnoteReference"/>
          <w:rFonts w:cstheme="minorHAnsi"/>
          <w:lang w:val="en-CA"/>
        </w:rPr>
        <w:footnoteReference w:id="49"/>
      </w:r>
      <w:r w:rsidR="005636AB" w:rsidRPr="0065125A">
        <w:rPr>
          <w:rFonts w:cstheme="minorHAnsi"/>
          <w:lang w:val="en-CA"/>
        </w:rPr>
        <w:t xml:space="preserve"> </w:t>
      </w:r>
      <w:r w:rsidR="00141DFE" w:rsidRPr="0065125A">
        <w:rPr>
          <w:rFonts w:cstheme="minorHAnsi"/>
          <w:lang w:val="en-CA"/>
        </w:rPr>
        <w:t>S.10(g) of the broadcasting act empowers the CRTC to make regulations respecting the carriage of any foreign programming by distribution undertakings</w:t>
      </w:r>
      <w:r w:rsidR="00343E79" w:rsidRPr="0065125A">
        <w:rPr>
          <w:rFonts w:cstheme="minorHAnsi"/>
          <w:lang w:val="en-CA"/>
        </w:rPr>
        <w:t xml:space="preserve"> in a manner that furthers the objects of the Broadcasting Act. </w:t>
      </w:r>
      <w:r w:rsidR="00343E79" w:rsidRPr="0065125A">
        <w:rPr>
          <w:rFonts w:cstheme="minorHAnsi"/>
          <w:lang w:val="en-CA"/>
        </w:rPr>
        <w:lastRenderedPageBreak/>
        <w:t>S.3</w:t>
      </w:r>
      <w:r w:rsidR="00085E64" w:rsidRPr="0065125A">
        <w:rPr>
          <w:rFonts w:cstheme="minorHAnsi"/>
          <w:lang w:val="en-CA"/>
        </w:rPr>
        <w:t>(1)(n)</w:t>
      </w:r>
      <w:r w:rsidR="00E21C5A" w:rsidRPr="0065125A">
        <w:rPr>
          <w:rFonts w:cstheme="minorHAnsi"/>
          <w:lang w:val="en-CA"/>
        </w:rPr>
        <w:t xml:space="preserve"> broadcasting</w:t>
      </w:r>
      <w:r w:rsidR="00343E79" w:rsidRPr="0065125A">
        <w:rPr>
          <w:rFonts w:cstheme="minorHAnsi"/>
          <w:lang w:val="en-CA"/>
        </w:rPr>
        <w:t xml:space="preserve"> policy </w:t>
      </w:r>
      <w:r w:rsidR="00CA4D36" w:rsidRPr="0065125A">
        <w:rPr>
          <w:rFonts w:cstheme="minorHAnsi"/>
          <w:lang w:val="en-CA"/>
        </w:rPr>
        <w:t xml:space="preserve">declarations </w:t>
      </w:r>
      <w:r w:rsidR="00E21C5A" w:rsidRPr="0065125A">
        <w:rPr>
          <w:rFonts w:cstheme="minorHAnsi"/>
          <w:lang w:val="en-CA"/>
        </w:rPr>
        <w:t xml:space="preserve">only refer to public interest expressly </w:t>
      </w:r>
      <w:r w:rsidR="00C86752" w:rsidRPr="0065125A">
        <w:rPr>
          <w:rFonts w:cstheme="minorHAnsi"/>
          <w:lang w:val="en-CA"/>
        </w:rPr>
        <w:t xml:space="preserve">where there is any conflict between the CBC and any </w:t>
      </w:r>
      <w:r w:rsidR="00004C08" w:rsidRPr="0065125A">
        <w:rPr>
          <w:rFonts w:cstheme="minorHAnsi"/>
          <w:lang w:val="en-CA"/>
        </w:rPr>
        <w:t>other Canadian broadcasting undertaking</w:t>
      </w:r>
      <w:r w:rsidR="001E68F4" w:rsidRPr="0065125A">
        <w:rPr>
          <w:rFonts w:cstheme="minorHAnsi"/>
          <w:lang w:val="en-CA"/>
        </w:rPr>
        <w:t>,</w:t>
      </w:r>
      <w:r w:rsidR="003F27BF" w:rsidRPr="0065125A">
        <w:rPr>
          <w:rFonts w:cstheme="minorHAnsi"/>
          <w:lang w:val="en-CA"/>
        </w:rPr>
        <w:t xml:space="preserve"> it should be resolved in the public interest.</w:t>
      </w:r>
      <w:r w:rsidR="00085E64" w:rsidRPr="0065125A">
        <w:rPr>
          <w:rFonts w:cstheme="minorHAnsi"/>
          <w:lang w:val="en-CA"/>
        </w:rPr>
        <w:t xml:space="preserve"> Even though 3(1)(n) does not directly apply to the question </w:t>
      </w:r>
      <w:r w:rsidR="0094639D" w:rsidRPr="0065125A">
        <w:rPr>
          <w:rFonts w:cstheme="minorHAnsi"/>
          <w:lang w:val="en-CA"/>
        </w:rPr>
        <w:t>at</w:t>
      </w:r>
      <w:r w:rsidR="00085E64" w:rsidRPr="0065125A">
        <w:rPr>
          <w:rFonts w:cstheme="minorHAnsi"/>
          <w:lang w:val="en-CA"/>
        </w:rPr>
        <w:t xml:space="preserve"> hand, it shows the paramountcy of public interest for the purposes of the Act. </w:t>
      </w:r>
      <w:r w:rsidR="00010FB2" w:rsidRPr="0065125A">
        <w:rPr>
          <w:rFonts w:cstheme="minorHAnsi"/>
          <w:lang w:val="en-CA"/>
        </w:rPr>
        <w:t xml:space="preserve">An indirect reference to </w:t>
      </w:r>
      <w:r w:rsidR="0094639D" w:rsidRPr="0065125A">
        <w:rPr>
          <w:rFonts w:cstheme="minorHAnsi"/>
          <w:lang w:val="en-CA"/>
        </w:rPr>
        <w:t xml:space="preserve">the </w:t>
      </w:r>
      <w:r w:rsidR="00010FB2" w:rsidRPr="0065125A">
        <w:rPr>
          <w:rFonts w:cstheme="minorHAnsi"/>
          <w:lang w:val="en-CA"/>
        </w:rPr>
        <w:t>public interest is found in 3(1)(d)(iii)</w:t>
      </w:r>
      <w:r w:rsidR="001E68F4" w:rsidRPr="0065125A">
        <w:rPr>
          <w:rFonts w:cstheme="minorHAnsi"/>
          <w:lang w:val="en-CA"/>
        </w:rPr>
        <w:t>,</w:t>
      </w:r>
      <w:r w:rsidR="00F05DC7" w:rsidRPr="0065125A">
        <w:rPr>
          <w:rFonts w:cstheme="minorHAnsi"/>
          <w:lang w:val="en-CA"/>
        </w:rPr>
        <w:t xml:space="preserve"> which requires the Canadian broadcasting system to serve the needs and interests of Canadian men, women and children. Overall, it is likely that </w:t>
      </w:r>
      <w:r w:rsidR="00B73F1A" w:rsidRPr="0065125A">
        <w:rPr>
          <w:rFonts w:cstheme="minorHAnsi"/>
          <w:lang w:val="en-CA"/>
        </w:rPr>
        <w:t>promoting social unrest in Canada and producing misinformation is against the interests of Canadians</w:t>
      </w:r>
      <w:r w:rsidR="00430063" w:rsidRPr="0065125A">
        <w:rPr>
          <w:rFonts w:cstheme="minorHAnsi"/>
          <w:lang w:val="en-CA"/>
        </w:rPr>
        <w:t xml:space="preserve">. CRTC </w:t>
      </w:r>
      <w:r w:rsidR="000D2220" w:rsidRPr="0065125A">
        <w:rPr>
          <w:rFonts w:cstheme="minorHAnsi"/>
          <w:lang w:val="en-CA"/>
        </w:rPr>
        <w:t>has a mandate to regulate Canadian broadcasting in the public interest and likely has jurisdiction to delist foreign services when they harm the public interest.</w:t>
      </w:r>
    </w:p>
    <w:p w14:paraId="4A4DD498" w14:textId="7FB3EE16" w:rsidR="00DF040F" w:rsidRPr="0065125A" w:rsidRDefault="00DF040F" w:rsidP="00B52B48">
      <w:pPr>
        <w:pStyle w:val="Heading2"/>
        <w:rPr>
          <w:lang w:val="en-CA"/>
        </w:rPr>
      </w:pPr>
      <w:bookmarkStart w:id="11" w:name="_Toc101364447"/>
      <w:r w:rsidRPr="0065125A">
        <w:rPr>
          <w:lang w:val="en-CA"/>
        </w:rPr>
        <w:t xml:space="preserve">Charter </w:t>
      </w:r>
      <w:r w:rsidR="008E65C9">
        <w:rPr>
          <w:lang w:val="en-CA"/>
        </w:rPr>
        <w:t>c</w:t>
      </w:r>
      <w:r w:rsidRPr="0065125A">
        <w:rPr>
          <w:lang w:val="en-CA"/>
        </w:rPr>
        <w:t xml:space="preserve">hallenge to </w:t>
      </w:r>
      <w:r w:rsidR="00B52B48">
        <w:rPr>
          <w:lang w:val="en-CA"/>
        </w:rPr>
        <w:t>s</w:t>
      </w:r>
      <w:r w:rsidR="003E3B81">
        <w:rPr>
          <w:lang w:val="en-CA"/>
        </w:rPr>
        <w:t>.</w:t>
      </w:r>
      <w:r w:rsidR="00B52B48">
        <w:rPr>
          <w:lang w:val="en-CA"/>
        </w:rPr>
        <w:t xml:space="preserve">5(1)(b) of </w:t>
      </w:r>
      <w:r w:rsidRPr="0065125A">
        <w:rPr>
          <w:lang w:val="en-CA"/>
        </w:rPr>
        <w:t>the Television Broadcasting Regulations</w:t>
      </w:r>
      <w:bookmarkEnd w:id="11"/>
    </w:p>
    <w:p w14:paraId="394CF72D" w14:textId="5F810B74" w:rsidR="00AD1121" w:rsidRPr="0065125A" w:rsidRDefault="00810A24" w:rsidP="007C6A0B">
      <w:pPr>
        <w:spacing w:line="480" w:lineRule="auto"/>
        <w:ind w:firstLine="720"/>
        <w:rPr>
          <w:rFonts w:cstheme="minorHAnsi"/>
          <w:lang w:val="en-CA"/>
        </w:rPr>
      </w:pPr>
      <w:r w:rsidRPr="0065125A">
        <w:rPr>
          <w:rFonts w:cstheme="minorHAnsi"/>
          <w:lang w:val="en-CA"/>
        </w:rPr>
        <w:t xml:space="preserve">Section 2(b) of the </w:t>
      </w:r>
      <w:r w:rsidR="00773163" w:rsidRPr="0065125A">
        <w:rPr>
          <w:rFonts w:cstheme="minorHAnsi"/>
          <w:lang w:val="en-CA"/>
        </w:rPr>
        <w:t>Canadian Charter of Rights and Freedoms recognizes that everyone has freedom of thought, belief, opinion and expression,</w:t>
      </w:r>
      <w:r w:rsidR="002A704C" w:rsidRPr="0065125A">
        <w:rPr>
          <w:rFonts w:cstheme="minorHAnsi"/>
          <w:lang w:val="en-CA"/>
        </w:rPr>
        <w:t xml:space="preserve"> including freedom of the press and other media of communication. However, these rights are not absolute. S.1 of the Charter provides that these rights </w:t>
      </w:r>
      <w:r w:rsidR="00A87237" w:rsidRPr="0065125A">
        <w:rPr>
          <w:rFonts w:cstheme="minorHAnsi"/>
          <w:lang w:val="en-CA"/>
        </w:rPr>
        <w:t xml:space="preserve">are subject only to such reasonable limits prescribed by law as can be demonstrably justified in a free and democratic society. </w:t>
      </w:r>
      <w:r w:rsidR="00E57C1B" w:rsidRPr="0065125A">
        <w:rPr>
          <w:rFonts w:cstheme="minorHAnsi"/>
          <w:lang w:val="en-CA"/>
        </w:rPr>
        <w:t xml:space="preserve">First, </w:t>
      </w:r>
      <w:r w:rsidR="00207EBE" w:rsidRPr="0065125A">
        <w:rPr>
          <w:rFonts w:cstheme="minorHAnsi"/>
          <w:lang w:val="en-CA"/>
        </w:rPr>
        <w:t xml:space="preserve">RT </w:t>
      </w:r>
      <w:r w:rsidR="00BF4190" w:rsidRPr="0065125A">
        <w:rPr>
          <w:rFonts w:cstheme="minorHAnsi"/>
          <w:lang w:val="en-CA"/>
        </w:rPr>
        <w:t xml:space="preserve">has to show that s.5(1)(b) of the regulation </w:t>
      </w:r>
      <w:r w:rsidR="00E55CA7" w:rsidRPr="0065125A">
        <w:rPr>
          <w:rFonts w:cstheme="minorHAnsi"/>
          <w:lang w:val="en-CA"/>
        </w:rPr>
        <w:t xml:space="preserve">prima facie violates s.2(b) of the Charter. If this is established, </w:t>
      </w:r>
      <w:r w:rsidR="00636137" w:rsidRPr="0065125A">
        <w:rPr>
          <w:rFonts w:cstheme="minorHAnsi"/>
          <w:lang w:val="en-CA"/>
        </w:rPr>
        <w:t>t</w:t>
      </w:r>
      <w:r w:rsidR="00E55CA7" w:rsidRPr="0065125A">
        <w:rPr>
          <w:rFonts w:cstheme="minorHAnsi"/>
          <w:lang w:val="en-CA"/>
        </w:rPr>
        <w:t>he prosecution would have to argue that the legislation is a</w:t>
      </w:r>
      <w:r w:rsidR="00844383" w:rsidRPr="0065125A">
        <w:rPr>
          <w:rFonts w:cstheme="minorHAnsi"/>
          <w:lang w:val="en-CA"/>
        </w:rPr>
        <w:t xml:space="preserve"> </w:t>
      </w:r>
      <w:r w:rsidR="00E55CA7" w:rsidRPr="0065125A">
        <w:rPr>
          <w:rFonts w:cstheme="minorHAnsi"/>
          <w:lang w:val="en-CA"/>
        </w:rPr>
        <w:t>reasonable</w:t>
      </w:r>
      <w:r w:rsidR="00844383" w:rsidRPr="0065125A">
        <w:rPr>
          <w:rFonts w:cstheme="minorHAnsi"/>
          <w:lang w:val="en-CA"/>
        </w:rPr>
        <w:t xml:space="preserve"> limit under s.1 of the Charter using the Oakes framework.</w:t>
      </w:r>
      <w:r w:rsidR="00207EBE" w:rsidRPr="0065125A">
        <w:rPr>
          <w:rFonts w:cstheme="minorHAnsi"/>
          <w:lang w:val="en-CA"/>
        </w:rPr>
        <w:t xml:space="preserve"> </w:t>
      </w:r>
    </w:p>
    <w:p w14:paraId="049FA3AD" w14:textId="6589D8A1" w:rsidR="00844383" w:rsidRPr="0065125A" w:rsidRDefault="00466948" w:rsidP="00B52B48">
      <w:pPr>
        <w:pStyle w:val="Heading3"/>
      </w:pPr>
      <w:bookmarkStart w:id="12" w:name="_Toc101364448"/>
      <w:r w:rsidRPr="0065125A">
        <w:t>s.5(1)(b) prima facie violates the Charter</w:t>
      </w:r>
      <w:bookmarkEnd w:id="12"/>
    </w:p>
    <w:p w14:paraId="5AC082D3" w14:textId="5567E057" w:rsidR="00466948" w:rsidRPr="0065125A" w:rsidRDefault="00466948" w:rsidP="007C6A0B">
      <w:pPr>
        <w:spacing w:line="480" w:lineRule="auto"/>
        <w:ind w:firstLine="720"/>
        <w:rPr>
          <w:rFonts w:cstheme="minorHAnsi"/>
          <w:lang w:val="en-CA"/>
        </w:rPr>
      </w:pPr>
      <w:r w:rsidRPr="0065125A">
        <w:rPr>
          <w:rFonts w:cstheme="minorHAnsi"/>
        </w:rPr>
        <w:t>The</w:t>
      </w:r>
      <w:r w:rsidR="009E3CB8" w:rsidRPr="0065125A">
        <w:rPr>
          <w:rFonts w:cstheme="minorHAnsi"/>
        </w:rPr>
        <w:t xml:space="preserve"> most authoritative decision on freedom of expression and </w:t>
      </w:r>
      <w:r w:rsidR="00893557" w:rsidRPr="0065125A">
        <w:rPr>
          <w:rFonts w:cstheme="minorHAnsi"/>
        </w:rPr>
        <w:t xml:space="preserve">suppression of hate speech in Canada is R v </w:t>
      </w:r>
      <w:proofErr w:type="spellStart"/>
      <w:r w:rsidR="007E7115" w:rsidRPr="0065125A">
        <w:rPr>
          <w:rFonts w:cstheme="minorHAnsi"/>
          <w:i/>
          <w:iCs/>
        </w:rPr>
        <w:t>Keegstra</w:t>
      </w:r>
      <w:proofErr w:type="spellEnd"/>
      <w:r w:rsidR="00893557" w:rsidRPr="0065125A">
        <w:rPr>
          <w:rFonts w:cstheme="minorHAnsi"/>
        </w:rPr>
        <w:t xml:space="preserve">. As my research has not found any case </w:t>
      </w:r>
      <w:r w:rsidR="00F610C8" w:rsidRPr="0065125A">
        <w:rPr>
          <w:rFonts w:cstheme="minorHAnsi"/>
        </w:rPr>
        <w:t xml:space="preserve">where a Canadian court has looked into </w:t>
      </w:r>
      <w:r w:rsidR="00F31776" w:rsidRPr="0065125A">
        <w:rPr>
          <w:rFonts w:cstheme="minorHAnsi"/>
        </w:rPr>
        <w:t xml:space="preserve">the </w:t>
      </w:r>
      <w:r w:rsidR="00F610C8" w:rsidRPr="0065125A">
        <w:rPr>
          <w:rFonts w:cstheme="minorHAnsi"/>
        </w:rPr>
        <w:t>constitutionality of the abusive comment provision</w:t>
      </w:r>
      <w:r w:rsidR="00CC423B" w:rsidRPr="0065125A">
        <w:rPr>
          <w:rStyle w:val="FootnoteReference"/>
          <w:rFonts w:cstheme="minorHAnsi"/>
        </w:rPr>
        <w:footnoteReference w:id="50"/>
      </w:r>
      <w:r w:rsidR="00F610C8" w:rsidRPr="0065125A">
        <w:rPr>
          <w:rFonts w:cstheme="minorHAnsi"/>
        </w:rPr>
        <w:t xml:space="preserve"> in the </w:t>
      </w:r>
      <w:r w:rsidR="00642E6C" w:rsidRPr="0065125A">
        <w:rPr>
          <w:rFonts w:cstheme="minorHAnsi"/>
          <w:lang w:val="en-CA"/>
        </w:rPr>
        <w:t xml:space="preserve">Television Broadcasting Regulations or </w:t>
      </w:r>
      <w:r w:rsidR="00642E6C" w:rsidRPr="0065125A">
        <w:rPr>
          <w:rFonts w:cstheme="minorHAnsi"/>
          <w:lang w:val="en-CA"/>
        </w:rPr>
        <w:lastRenderedPageBreak/>
        <w:t>comparable provisions in related regulations</w:t>
      </w:r>
      <w:r w:rsidR="00F352F2" w:rsidRPr="0065125A">
        <w:rPr>
          <w:rFonts w:cstheme="minorHAnsi"/>
          <w:lang w:val="en-CA"/>
        </w:rPr>
        <w:t>,</w:t>
      </w:r>
      <w:r w:rsidR="00642E6C" w:rsidRPr="0065125A">
        <w:rPr>
          <w:rStyle w:val="FootnoteReference"/>
          <w:rFonts w:cstheme="minorHAnsi"/>
          <w:lang w:val="en-CA"/>
        </w:rPr>
        <w:footnoteReference w:id="51"/>
      </w:r>
      <w:r w:rsidR="00F352F2" w:rsidRPr="0065125A">
        <w:rPr>
          <w:rFonts w:cstheme="minorHAnsi"/>
          <w:lang w:val="en-CA"/>
        </w:rPr>
        <w:t xml:space="preserve"> </w:t>
      </w:r>
      <w:proofErr w:type="spellStart"/>
      <w:r w:rsidR="007E7115" w:rsidRPr="0065125A">
        <w:rPr>
          <w:rFonts w:cstheme="minorHAnsi"/>
          <w:i/>
          <w:iCs/>
          <w:lang w:val="en-CA"/>
        </w:rPr>
        <w:t>Keegstra</w:t>
      </w:r>
      <w:proofErr w:type="spellEnd"/>
      <w:r w:rsidR="00F31776" w:rsidRPr="0065125A">
        <w:rPr>
          <w:rFonts w:cstheme="minorHAnsi"/>
          <w:lang w:val="en-CA"/>
        </w:rPr>
        <w:t xml:space="preserve"> is an appropriate starting point. In </w:t>
      </w:r>
      <w:proofErr w:type="spellStart"/>
      <w:r w:rsidR="007E7115" w:rsidRPr="0065125A">
        <w:rPr>
          <w:rFonts w:cstheme="minorHAnsi"/>
          <w:i/>
          <w:iCs/>
          <w:lang w:val="en-CA"/>
        </w:rPr>
        <w:t>Keegstra</w:t>
      </w:r>
      <w:proofErr w:type="spellEnd"/>
      <w:r w:rsidR="00F31776" w:rsidRPr="0065125A">
        <w:rPr>
          <w:rFonts w:cstheme="minorHAnsi"/>
          <w:lang w:val="en-CA"/>
        </w:rPr>
        <w:t>, the issue was whether hate speech against Jews</w:t>
      </w:r>
      <w:r w:rsidR="003C6D54" w:rsidRPr="0065125A">
        <w:rPr>
          <w:rFonts w:cstheme="minorHAnsi"/>
          <w:lang w:val="en-CA"/>
        </w:rPr>
        <w:t>, which is an offence under s. 319(2) of the Criminal Code makes it an offence to communicate, except in private conversation, statements that wilfully promote hatred against an identifiable group</w:t>
      </w:r>
      <w:r w:rsidR="00961B72" w:rsidRPr="0065125A">
        <w:rPr>
          <w:rFonts w:cstheme="minorHAnsi"/>
          <w:lang w:val="en-CA"/>
        </w:rPr>
        <w:t>. An identifiable group means any group distinguished by colour, race, religion, national or ethnic origin, age, sex, sexual orientation, gender identity or expression, or mental or physical disability.</w:t>
      </w:r>
      <w:r w:rsidR="00F676C2" w:rsidRPr="0065125A">
        <w:rPr>
          <w:rFonts w:cstheme="minorHAnsi"/>
          <w:lang w:val="en-CA"/>
        </w:rPr>
        <w:t xml:space="preserve"> </w:t>
      </w:r>
      <w:r w:rsidR="007512F1" w:rsidRPr="0065125A">
        <w:rPr>
          <w:rFonts w:cstheme="minorHAnsi"/>
          <w:lang w:val="en-CA"/>
        </w:rPr>
        <w:t>This definition encapsulates the groups protected under</w:t>
      </w:r>
      <w:r w:rsidR="00F676C2" w:rsidRPr="0065125A">
        <w:rPr>
          <w:rFonts w:cstheme="minorHAnsi"/>
          <w:lang w:val="en-CA"/>
        </w:rPr>
        <w:t xml:space="preserve"> s.5(1)(b) of the Regulation</w:t>
      </w:r>
      <w:r w:rsidR="00DB058E" w:rsidRPr="0065125A">
        <w:rPr>
          <w:rFonts w:cstheme="minorHAnsi"/>
          <w:lang w:val="en-CA"/>
        </w:rPr>
        <w:t xml:space="preserve">, making the </w:t>
      </w:r>
      <w:proofErr w:type="spellStart"/>
      <w:r w:rsidR="007E7115" w:rsidRPr="0065125A">
        <w:rPr>
          <w:rFonts w:cstheme="minorHAnsi"/>
          <w:i/>
          <w:iCs/>
          <w:lang w:val="en-CA"/>
        </w:rPr>
        <w:t>Keegstra</w:t>
      </w:r>
      <w:proofErr w:type="spellEnd"/>
      <w:r w:rsidR="00DB058E" w:rsidRPr="0065125A">
        <w:rPr>
          <w:rFonts w:cstheme="minorHAnsi"/>
          <w:lang w:val="en-CA"/>
        </w:rPr>
        <w:t xml:space="preserve"> analysis highly relevant to the question at hand</w:t>
      </w:r>
      <w:r w:rsidR="007512F1" w:rsidRPr="0065125A">
        <w:rPr>
          <w:rFonts w:cstheme="minorHAnsi"/>
          <w:lang w:val="en-CA"/>
        </w:rPr>
        <w:t>.</w:t>
      </w:r>
      <w:r w:rsidR="00F24E4C" w:rsidRPr="0065125A">
        <w:rPr>
          <w:rFonts w:cstheme="minorHAnsi"/>
          <w:lang w:val="en-CA"/>
        </w:rPr>
        <w:t xml:space="preserve"> </w:t>
      </w:r>
    </w:p>
    <w:p w14:paraId="61F8F414" w14:textId="21CDCC1A" w:rsidR="00B46182" w:rsidRPr="0065125A" w:rsidRDefault="00B46182" w:rsidP="007C6A0B">
      <w:pPr>
        <w:spacing w:line="480" w:lineRule="auto"/>
        <w:ind w:firstLine="720"/>
        <w:rPr>
          <w:rFonts w:cstheme="minorHAnsi"/>
          <w:lang w:val="en-CA"/>
        </w:rPr>
      </w:pPr>
      <w:r w:rsidRPr="0065125A">
        <w:rPr>
          <w:rFonts w:cstheme="minorHAnsi"/>
          <w:lang w:val="en-CA"/>
        </w:rPr>
        <w:t xml:space="preserve">In </w:t>
      </w:r>
      <w:proofErr w:type="spellStart"/>
      <w:r w:rsidR="007E7115" w:rsidRPr="0065125A">
        <w:rPr>
          <w:rFonts w:cstheme="minorHAnsi"/>
          <w:i/>
          <w:iCs/>
          <w:lang w:val="en-CA"/>
        </w:rPr>
        <w:t>Keegstra</w:t>
      </w:r>
      <w:proofErr w:type="spellEnd"/>
      <w:r w:rsidRPr="0065125A">
        <w:rPr>
          <w:rFonts w:cstheme="minorHAnsi"/>
          <w:lang w:val="en-CA"/>
        </w:rPr>
        <w:t xml:space="preserve">, the term ‘expression’ used in the Charter was </w:t>
      </w:r>
      <w:r w:rsidR="00EE7AE1" w:rsidRPr="0065125A">
        <w:rPr>
          <w:rFonts w:cstheme="minorHAnsi"/>
          <w:lang w:val="en-CA"/>
        </w:rPr>
        <w:t xml:space="preserve">defined </w:t>
      </w:r>
      <w:r w:rsidR="00E94A4C" w:rsidRPr="0065125A">
        <w:rPr>
          <w:rFonts w:cstheme="minorHAnsi"/>
          <w:lang w:val="en-CA"/>
        </w:rPr>
        <w:t>comprehensively and extensively</w:t>
      </w:r>
      <w:r w:rsidR="00503616" w:rsidRPr="0065125A">
        <w:rPr>
          <w:rFonts w:cstheme="minorHAnsi"/>
          <w:lang w:val="en-CA"/>
        </w:rPr>
        <w:t xml:space="preserve">. The SCC adopted </w:t>
      </w:r>
      <w:r w:rsidR="0008479F" w:rsidRPr="0065125A">
        <w:rPr>
          <w:rFonts w:cstheme="minorHAnsi"/>
          <w:lang w:val="en-CA"/>
        </w:rPr>
        <w:t xml:space="preserve">the description of ‘expression’ from Irwin </w:t>
      </w:r>
      <w:proofErr w:type="gramStart"/>
      <w:r w:rsidR="0008479F" w:rsidRPr="0065125A">
        <w:rPr>
          <w:rFonts w:cstheme="minorHAnsi"/>
          <w:lang w:val="en-CA"/>
        </w:rPr>
        <w:t xml:space="preserve">Toy </w:t>
      </w:r>
      <w:r w:rsidR="008D4D06" w:rsidRPr="0065125A">
        <w:rPr>
          <w:rFonts w:cstheme="minorHAnsi"/>
          <w:lang w:val="en-CA"/>
        </w:rPr>
        <w:t>:</w:t>
      </w:r>
      <w:proofErr w:type="gramEnd"/>
    </w:p>
    <w:p w14:paraId="11830ADE" w14:textId="077E6C32" w:rsidR="008D4D06" w:rsidRPr="0065125A" w:rsidRDefault="008D4D06" w:rsidP="008D4D06">
      <w:pPr>
        <w:pStyle w:val="Quote"/>
        <w:jc w:val="both"/>
        <w:rPr>
          <w:rFonts w:cstheme="minorHAnsi"/>
        </w:rPr>
      </w:pPr>
      <w:r w:rsidRPr="0065125A">
        <w:rPr>
          <w:rFonts w:cstheme="minorHAnsi"/>
        </w:rPr>
        <w:t>"Expression" has both a content and a form, and the two can be inextricably connected. Activity is expressive if it attempts to convey meaning. That meaning is its content. Freedom of expression was entrenched in our Constitution and is guaranteed in the Quebec Charter so as to ensure that everyone can manifest their thoughts, opinions, beliefs, indeed all expressions of the heart and mind, however unpopular, distasteful or contrary to the mainstream. Such protection is, in the words of both the Canadian and Quebec Charters, "fundamental" because in a free, pluralistic and democratic society we prize a diversity of ideas and opinions for their inherent value both to the community and to the individual.</w:t>
      </w:r>
    </w:p>
    <w:p w14:paraId="52BBFE32" w14:textId="181CC44B" w:rsidR="00F24E4C" w:rsidRPr="0065125A" w:rsidRDefault="00F57F45" w:rsidP="008D4D06">
      <w:pPr>
        <w:spacing w:line="480" w:lineRule="auto"/>
        <w:rPr>
          <w:rFonts w:cstheme="minorHAnsi"/>
        </w:rPr>
      </w:pPr>
      <w:r w:rsidRPr="0065125A">
        <w:rPr>
          <w:rFonts w:cstheme="minorHAnsi"/>
        </w:rPr>
        <w:tab/>
        <w:t>This definition i</w:t>
      </w:r>
      <w:r w:rsidR="00DA1472" w:rsidRPr="0065125A">
        <w:rPr>
          <w:rFonts w:cstheme="minorHAnsi"/>
        </w:rPr>
        <w:t xml:space="preserve">s </w:t>
      </w:r>
      <w:r w:rsidR="002665C0" w:rsidRPr="0065125A">
        <w:rPr>
          <w:rFonts w:cstheme="minorHAnsi"/>
        </w:rPr>
        <w:t>comprehensive</w:t>
      </w:r>
      <w:r w:rsidR="00DA1472" w:rsidRPr="0065125A">
        <w:rPr>
          <w:rFonts w:cstheme="minorHAnsi"/>
        </w:rPr>
        <w:t xml:space="preserve"> and covers both physical and </w:t>
      </w:r>
      <w:r w:rsidR="00190431" w:rsidRPr="0065125A">
        <w:rPr>
          <w:rFonts w:cstheme="minorHAnsi"/>
        </w:rPr>
        <w:t xml:space="preserve">verbal expressions of meaning, regardless of how unpopular or distasteful the expression might be. </w:t>
      </w:r>
      <w:r w:rsidR="004758BC" w:rsidRPr="0065125A">
        <w:rPr>
          <w:rFonts w:cstheme="minorHAnsi"/>
        </w:rPr>
        <w:t xml:space="preserve">In </w:t>
      </w:r>
      <w:proofErr w:type="spellStart"/>
      <w:r w:rsidR="007E7115" w:rsidRPr="0065125A">
        <w:rPr>
          <w:rFonts w:cstheme="minorHAnsi"/>
          <w:i/>
          <w:iCs/>
        </w:rPr>
        <w:t>Keegstra</w:t>
      </w:r>
      <w:proofErr w:type="spellEnd"/>
      <w:r w:rsidR="004758BC" w:rsidRPr="0065125A">
        <w:rPr>
          <w:rFonts w:cstheme="minorHAnsi"/>
        </w:rPr>
        <w:t>, the SSC</w:t>
      </w:r>
      <w:r w:rsidR="002665C0" w:rsidRPr="0065125A">
        <w:rPr>
          <w:rFonts w:cstheme="minorHAnsi"/>
        </w:rPr>
        <w:t xml:space="preserve"> also</w:t>
      </w:r>
      <w:r w:rsidR="004758BC" w:rsidRPr="0065125A">
        <w:rPr>
          <w:rFonts w:cstheme="minorHAnsi"/>
        </w:rPr>
        <w:t xml:space="preserve"> considered whether hate speech or in</w:t>
      </w:r>
      <w:r w:rsidR="00C333AD" w:rsidRPr="0065125A">
        <w:rPr>
          <w:rFonts w:cstheme="minorHAnsi"/>
        </w:rPr>
        <w:t xml:space="preserve">citing speech </w:t>
      </w:r>
      <w:r w:rsidR="008C6E70" w:rsidRPr="0065125A">
        <w:rPr>
          <w:rFonts w:cstheme="minorHAnsi"/>
        </w:rPr>
        <w:t>falls within the</w:t>
      </w:r>
      <w:r w:rsidR="00C333AD" w:rsidRPr="0065125A">
        <w:rPr>
          <w:rFonts w:cstheme="minorHAnsi"/>
        </w:rPr>
        <w:t xml:space="preserve"> broad protection of this interpretation. It found that </w:t>
      </w:r>
      <w:r w:rsidR="00DD473A" w:rsidRPr="0065125A">
        <w:rPr>
          <w:rFonts w:cstheme="minorHAnsi"/>
        </w:rPr>
        <w:t xml:space="preserve">hate speech and even threats of violence are prima facie protected speech that falls within this description. The only excluded form of expression is </w:t>
      </w:r>
      <w:r w:rsidR="008C6E70" w:rsidRPr="0065125A">
        <w:rPr>
          <w:rFonts w:cstheme="minorHAnsi"/>
        </w:rPr>
        <w:t xml:space="preserve">expression </w:t>
      </w:r>
      <w:r w:rsidR="00571C5C" w:rsidRPr="0065125A">
        <w:rPr>
          <w:rFonts w:cstheme="minorHAnsi"/>
        </w:rPr>
        <w:t xml:space="preserve">communicated directly through physical </w:t>
      </w:r>
      <w:r w:rsidR="00571C5C" w:rsidRPr="0065125A">
        <w:rPr>
          <w:rFonts w:cstheme="minorHAnsi"/>
        </w:rPr>
        <w:lastRenderedPageBreak/>
        <w:t>harm</w:t>
      </w:r>
      <w:r w:rsidR="00DD473A" w:rsidRPr="0065125A">
        <w:rPr>
          <w:rFonts w:cstheme="minorHAnsi"/>
        </w:rPr>
        <w:t>.</w:t>
      </w:r>
      <w:r w:rsidR="00DD473A" w:rsidRPr="0065125A">
        <w:rPr>
          <w:rStyle w:val="FootnoteReference"/>
          <w:rFonts w:cstheme="minorHAnsi"/>
        </w:rPr>
        <w:footnoteReference w:id="52"/>
      </w:r>
      <w:r w:rsidR="00EE3A2C" w:rsidRPr="0065125A">
        <w:rPr>
          <w:rFonts w:cstheme="minorHAnsi"/>
        </w:rPr>
        <w:t xml:space="preserve"> </w:t>
      </w:r>
      <w:r w:rsidR="00D114B9" w:rsidRPr="0065125A">
        <w:rPr>
          <w:rFonts w:cstheme="minorHAnsi"/>
        </w:rPr>
        <w:t xml:space="preserve">Based on this broad </w:t>
      </w:r>
      <w:r w:rsidR="00DF6D81" w:rsidRPr="0065125A">
        <w:rPr>
          <w:rFonts w:cstheme="minorHAnsi"/>
        </w:rPr>
        <w:t xml:space="preserve">understanding of expression, s.5(1) that restricts certain examples of undesirable expression is </w:t>
      </w:r>
      <w:r w:rsidR="008028EC" w:rsidRPr="0065125A">
        <w:rPr>
          <w:rFonts w:cstheme="minorHAnsi"/>
        </w:rPr>
        <w:t>prima facie in breach of the Charter.</w:t>
      </w:r>
    </w:p>
    <w:p w14:paraId="6B72228D" w14:textId="5EE30E33" w:rsidR="008028EC" w:rsidRPr="0065125A" w:rsidRDefault="008028EC" w:rsidP="00B52B48">
      <w:pPr>
        <w:pStyle w:val="Heading3"/>
      </w:pPr>
      <w:bookmarkStart w:id="13" w:name="_Toc101364449"/>
      <w:r w:rsidRPr="0065125A">
        <w:t>Restriction justified under s.1 of the Charter</w:t>
      </w:r>
      <w:bookmarkEnd w:id="13"/>
    </w:p>
    <w:p w14:paraId="06D6D6A0" w14:textId="3824FF53" w:rsidR="008028EC" w:rsidRPr="0065125A" w:rsidRDefault="003954BC" w:rsidP="009D0F10">
      <w:pPr>
        <w:spacing w:line="480" w:lineRule="auto"/>
        <w:ind w:firstLine="720"/>
        <w:rPr>
          <w:rFonts w:cstheme="minorHAnsi"/>
        </w:rPr>
      </w:pPr>
      <w:r w:rsidRPr="0065125A">
        <w:rPr>
          <w:rFonts w:cstheme="minorHAnsi"/>
        </w:rPr>
        <w:t xml:space="preserve">The first step of the Oakes analysis is identifying the </w:t>
      </w:r>
      <w:r w:rsidR="00114C00" w:rsidRPr="0065125A">
        <w:rPr>
          <w:rFonts w:cstheme="minorHAnsi"/>
        </w:rPr>
        <w:t xml:space="preserve">objective of the relevant legislation. A legislative limit on a </w:t>
      </w:r>
      <w:r w:rsidR="00846A42" w:rsidRPr="0065125A">
        <w:rPr>
          <w:rFonts w:cstheme="minorHAnsi"/>
        </w:rPr>
        <w:t>Charter-protected</w:t>
      </w:r>
      <w:r w:rsidR="00114C00" w:rsidRPr="0065125A">
        <w:rPr>
          <w:rFonts w:cstheme="minorHAnsi"/>
        </w:rPr>
        <w:t xml:space="preserve"> right is permissible only </w:t>
      </w:r>
      <w:r w:rsidR="00315C58" w:rsidRPr="0065125A">
        <w:rPr>
          <w:rFonts w:cstheme="minorHAnsi"/>
        </w:rPr>
        <w:t>if</w:t>
      </w:r>
      <w:r w:rsidR="00114C00" w:rsidRPr="0065125A">
        <w:rPr>
          <w:rFonts w:cstheme="minorHAnsi"/>
        </w:rPr>
        <w:t xml:space="preserve"> the objective relates to concerns </w:t>
      </w:r>
      <w:r w:rsidR="00846A42" w:rsidRPr="0065125A">
        <w:rPr>
          <w:rFonts w:cstheme="minorHAnsi"/>
        </w:rPr>
        <w:t>that</w:t>
      </w:r>
      <w:r w:rsidR="00114C00" w:rsidRPr="0065125A">
        <w:rPr>
          <w:rFonts w:cstheme="minorHAnsi"/>
        </w:rPr>
        <w:t xml:space="preserve"> are pressing and substantial in a free and democratic society.</w:t>
      </w:r>
      <w:r w:rsidR="00114C00" w:rsidRPr="0065125A">
        <w:rPr>
          <w:rStyle w:val="FootnoteReference"/>
          <w:rFonts w:cstheme="minorHAnsi"/>
        </w:rPr>
        <w:footnoteReference w:id="53"/>
      </w:r>
      <w:r w:rsidR="00114C00" w:rsidRPr="0065125A">
        <w:rPr>
          <w:rFonts w:cstheme="minorHAnsi"/>
        </w:rPr>
        <w:t xml:space="preserve"> The objective of this provision is similar to the objective of s.319 </w:t>
      </w:r>
      <w:r w:rsidR="008F2C8D" w:rsidRPr="0065125A">
        <w:rPr>
          <w:rFonts w:cstheme="minorHAnsi"/>
        </w:rPr>
        <w:t>of the Criminal Code</w:t>
      </w:r>
      <w:r w:rsidR="00846A42" w:rsidRPr="0065125A">
        <w:rPr>
          <w:rFonts w:cstheme="minorHAnsi"/>
        </w:rPr>
        <w:t>,</w:t>
      </w:r>
      <w:r w:rsidR="008F2C8D" w:rsidRPr="0065125A">
        <w:rPr>
          <w:rFonts w:cstheme="minorHAnsi"/>
        </w:rPr>
        <w:t xml:space="preserve"> which was discussed in </w:t>
      </w:r>
      <w:proofErr w:type="spellStart"/>
      <w:r w:rsidR="007E7115" w:rsidRPr="0065125A">
        <w:rPr>
          <w:rFonts w:cstheme="minorHAnsi"/>
          <w:i/>
          <w:iCs/>
        </w:rPr>
        <w:t>Keegstra</w:t>
      </w:r>
      <w:proofErr w:type="spellEnd"/>
      <w:r w:rsidR="008F2C8D" w:rsidRPr="0065125A">
        <w:rPr>
          <w:rFonts w:cstheme="minorHAnsi"/>
        </w:rPr>
        <w:t xml:space="preserve">. </w:t>
      </w:r>
      <w:r w:rsidR="00902E6D" w:rsidRPr="0065125A">
        <w:rPr>
          <w:rFonts w:cstheme="minorHAnsi"/>
        </w:rPr>
        <w:t xml:space="preserve">There are two harms </w:t>
      </w:r>
      <w:r w:rsidR="007947B0" w:rsidRPr="0065125A">
        <w:rPr>
          <w:rFonts w:cstheme="minorHAnsi"/>
        </w:rPr>
        <w:t xml:space="preserve">provisions against hateful expressions against identifiable groups respond to. First, </w:t>
      </w:r>
      <w:r w:rsidR="00D04559" w:rsidRPr="0065125A">
        <w:rPr>
          <w:rFonts w:cstheme="minorHAnsi"/>
        </w:rPr>
        <w:t xml:space="preserve">hate speech causes </w:t>
      </w:r>
      <w:r w:rsidR="0034436E" w:rsidRPr="0065125A">
        <w:rPr>
          <w:rFonts w:cstheme="minorHAnsi"/>
        </w:rPr>
        <w:t xml:space="preserve">psychological and social damage to the people targeted. People at the receiving end are humiliated and degraded. </w:t>
      </w:r>
      <w:r w:rsidR="00712D7B" w:rsidRPr="0065125A">
        <w:rPr>
          <w:rFonts w:cstheme="minorHAnsi"/>
        </w:rPr>
        <w:t xml:space="preserve">The psychological harm includes </w:t>
      </w:r>
      <w:r w:rsidR="00846A42" w:rsidRPr="0065125A">
        <w:rPr>
          <w:rFonts w:cstheme="minorHAnsi"/>
        </w:rPr>
        <w:t xml:space="preserve">a </w:t>
      </w:r>
      <w:r w:rsidR="00712D7B" w:rsidRPr="0065125A">
        <w:rPr>
          <w:rFonts w:cstheme="minorHAnsi"/>
        </w:rPr>
        <w:t xml:space="preserve">severe negative impact on the </w:t>
      </w:r>
      <w:r w:rsidR="00846A42" w:rsidRPr="0065125A">
        <w:rPr>
          <w:rFonts w:cstheme="minorHAnsi"/>
        </w:rPr>
        <w:t>affected</w:t>
      </w:r>
      <w:r w:rsidR="00712D7B" w:rsidRPr="0065125A">
        <w:rPr>
          <w:rFonts w:cstheme="minorHAnsi"/>
        </w:rPr>
        <w:t xml:space="preserve"> persons’ sense of self-worth and acceptance. Hate speech can encourage affected people </w:t>
      </w:r>
      <w:r w:rsidR="00812151" w:rsidRPr="0065125A">
        <w:rPr>
          <w:rFonts w:cstheme="minorHAnsi"/>
        </w:rPr>
        <w:t>to voluntarily become more marginalized by avoiding activities that would bring them into contact with the society-in-large.</w:t>
      </w:r>
      <w:r w:rsidR="001D37CC" w:rsidRPr="0065125A">
        <w:rPr>
          <w:rStyle w:val="FootnoteReference"/>
          <w:rFonts w:cstheme="minorHAnsi"/>
        </w:rPr>
        <w:footnoteReference w:id="54"/>
      </w:r>
      <w:r w:rsidR="001E7AFB" w:rsidRPr="0065125A">
        <w:rPr>
          <w:rFonts w:cstheme="minorHAnsi"/>
        </w:rPr>
        <w:t xml:space="preserve"> The second harm is that hate speech is likely to </w:t>
      </w:r>
      <w:r w:rsidR="007A4CB5" w:rsidRPr="0065125A">
        <w:rPr>
          <w:rFonts w:cstheme="minorHAnsi"/>
        </w:rPr>
        <w:t xml:space="preserve">attract other people to its cause and create serious discord in </w:t>
      </w:r>
      <w:r w:rsidR="00AC72D2" w:rsidRPr="0065125A">
        <w:rPr>
          <w:rFonts w:cstheme="minorHAnsi"/>
        </w:rPr>
        <w:t>society. The Special Committee on Hate Propaganda in Canada</w:t>
      </w:r>
      <w:r w:rsidR="001B72BD" w:rsidRPr="0065125A">
        <w:rPr>
          <w:rFonts w:cstheme="minorHAnsi"/>
        </w:rPr>
        <w:t xml:space="preserve"> (‘the </w:t>
      </w:r>
      <w:r w:rsidR="00AC72D2" w:rsidRPr="0065125A">
        <w:rPr>
          <w:rFonts w:cstheme="minorHAnsi"/>
        </w:rPr>
        <w:t>Cohen Committee</w:t>
      </w:r>
      <w:r w:rsidR="001B72BD" w:rsidRPr="0065125A">
        <w:rPr>
          <w:rFonts w:cstheme="minorHAnsi"/>
        </w:rPr>
        <w:t xml:space="preserve">’) </w:t>
      </w:r>
      <w:r w:rsidR="00F23440" w:rsidRPr="0065125A">
        <w:rPr>
          <w:rFonts w:cstheme="minorHAnsi"/>
        </w:rPr>
        <w:t xml:space="preserve">that published the unanimous Report of the Special Committee on Hate Propaganda in Canada in 1996 warned that </w:t>
      </w:r>
      <w:r w:rsidR="00A1561C" w:rsidRPr="0065125A">
        <w:rPr>
          <w:rFonts w:cstheme="minorHAnsi"/>
        </w:rPr>
        <w:t>individuals can be persuaded to believe almost anything if information or ideas are communicated using the right technique and in the proper circumstances.</w:t>
      </w:r>
      <w:r w:rsidR="00A1561C" w:rsidRPr="0065125A">
        <w:rPr>
          <w:rStyle w:val="FootnoteReference"/>
          <w:rFonts w:cstheme="minorHAnsi"/>
        </w:rPr>
        <w:footnoteReference w:id="55"/>
      </w:r>
      <w:r w:rsidR="00A1561C" w:rsidRPr="0065125A">
        <w:rPr>
          <w:rFonts w:cstheme="minorHAnsi"/>
        </w:rPr>
        <w:t xml:space="preserve"> </w:t>
      </w:r>
      <w:r w:rsidR="006F028E" w:rsidRPr="0065125A">
        <w:rPr>
          <w:rFonts w:cstheme="minorHAnsi"/>
        </w:rPr>
        <w:t xml:space="preserve">These findings of the Cohen Committee that were accepted by the Court in </w:t>
      </w:r>
      <w:proofErr w:type="spellStart"/>
      <w:r w:rsidR="007E7115" w:rsidRPr="0065125A">
        <w:rPr>
          <w:rFonts w:cstheme="minorHAnsi"/>
          <w:i/>
          <w:iCs/>
        </w:rPr>
        <w:t>Keegstra</w:t>
      </w:r>
      <w:proofErr w:type="spellEnd"/>
      <w:r w:rsidR="006F028E" w:rsidRPr="0065125A">
        <w:rPr>
          <w:rFonts w:cstheme="minorHAnsi"/>
        </w:rPr>
        <w:t xml:space="preserve"> </w:t>
      </w:r>
      <w:r w:rsidR="00CB3016" w:rsidRPr="0065125A">
        <w:rPr>
          <w:rFonts w:cstheme="minorHAnsi"/>
        </w:rPr>
        <w:t>continue to be highly relevant</w:t>
      </w:r>
      <w:r w:rsidR="00FA0D71" w:rsidRPr="0065125A">
        <w:rPr>
          <w:rFonts w:cstheme="minorHAnsi"/>
        </w:rPr>
        <w:t xml:space="preserve"> </w:t>
      </w:r>
      <w:r w:rsidR="009C04A7" w:rsidRPr="0065125A">
        <w:rPr>
          <w:rFonts w:cstheme="minorHAnsi"/>
        </w:rPr>
        <w:t xml:space="preserve">in 2022. As the Court </w:t>
      </w:r>
      <w:r w:rsidR="00CB3016" w:rsidRPr="0065125A">
        <w:rPr>
          <w:rFonts w:cstheme="minorHAnsi"/>
        </w:rPr>
        <w:t>acknowledged</w:t>
      </w:r>
      <w:r w:rsidR="009C04A7" w:rsidRPr="0065125A">
        <w:rPr>
          <w:rFonts w:cstheme="minorHAnsi"/>
        </w:rPr>
        <w:t xml:space="preserve">, </w:t>
      </w:r>
      <w:r w:rsidR="00CB3016" w:rsidRPr="0065125A">
        <w:rPr>
          <w:rFonts w:cstheme="minorHAnsi"/>
        </w:rPr>
        <w:t xml:space="preserve">significant hate propaganda activity </w:t>
      </w:r>
      <w:r w:rsidR="00316231" w:rsidRPr="0065125A">
        <w:rPr>
          <w:rFonts w:cstheme="minorHAnsi"/>
        </w:rPr>
        <w:t>occurs</w:t>
      </w:r>
      <w:r w:rsidR="009C04A7" w:rsidRPr="0065125A">
        <w:rPr>
          <w:rFonts w:cstheme="minorHAnsi"/>
        </w:rPr>
        <w:t xml:space="preserve"> in Canada. While some</w:t>
      </w:r>
      <w:r w:rsidR="00201228" w:rsidRPr="0065125A">
        <w:rPr>
          <w:rFonts w:cstheme="minorHAnsi"/>
        </w:rPr>
        <w:t xml:space="preserve"> propaganda</w:t>
      </w:r>
      <w:r w:rsidR="009C04A7" w:rsidRPr="0065125A">
        <w:rPr>
          <w:rFonts w:cstheme="minorHAnsi"/>
        </w:rPr>
        <w:t xml:space="preserve"> </w:t>
      </w:r>
      <w:r w:rsidR="00201228" w:rsidRPr="0065125A">
        <w:rPr>
          <w:rFonts w:cstheme="minorHAnsi"/>
        </w:rPr>
        <w:t>is</w:t>
      </w:r>
      <w:r w:rsidR="009C04A7" w:rsidRPr="0065125A">
        <w:rPr>
          <w:rFonts w:cstheme="minorHAnsi"/>
        </w:rPr>
        <w:t xml:space="preserve"> generated domestically, </w:t>
      </w:r>
      <w:r w:rsidR="00A9583D" w:rsidRPr="0065125A">
        <w:rPr>
          <w:rFonts w:cstheme="minorHAnsi"/>
        </w:rPr>
        <w:t xml:space="preserve">some are imported from other countries. </w:t>
      </w:r>
      <w:r w:rsidR="00F71C72" w:rsidRPr="0065125A">
        <w:rPr>
          <w:rFonts w:cstheme="minorHAnsi"/>
        </w:rPr>
        <w:t xml:space="preserve">Thus, it would seem that the purpose </w:t>
      </w:r>
      <w:r w:rsidR="00F71C72" w:rsidRPr="0065125A">
        <w:rPr>
          <w:rFonts w:cstheme="minorHAnsi"/>
        </w:rPr>
        <w:lastRenderedPageBreak/>
        <w:t xml:space="preserve">of s.5(1)(b) is to </w:t>
      </w:r>
      <w:r w:rsidR="00D77890" w:rsidRPr="0065125A">
        <w:rPr>
          <w:rFonts w:cstheme="minorHAnsi"/>
        </w:rPr>
        <w:t xml:space="preserve">prevent the </w:t>
      </w:r>
      <w:r w:rsidR="000C544C" w:rsidRPr="0065125A">
        <w:rPr>
          <w:rFonts w:cstheme="minorHAnsi"/>
        </w:rPr>
        <w:t>harm</w:t>
      </w:r>
      <w:r w:rsidR="00D77890" w:rsidRPr="0065125A">
        <w:rPr>
          <w:rFonts w:cstheme="minorHAnsi"/>
        </w:rPr>
        <w:t xml:space="preserve"> caused by hate</w:t>
      </w:r>
      <w:r w:rsidR="000C544C" w:rsidRPr="0065125A">
        <w:rPr>
          <w:rFonts w:cstheme="minorHAnsi"/>
        </w:rPr>
        <w:t>-</w:t>
      </w:r>
      <w:r w:rsidR="00D77890" w:rsidRPr="0065125A">
        <w:rPr>
          <w:rFonts w:cstheme="minorHAnsi"/>
        </w:rPr>
        <w:t>promoting expression</w:t>
      </w:r>
      <w:r w:rsidR="00690246" w:rsidRPr="0065125A">
        <w:rPr>
          <w:rFonts w:cstheme="minorHAnsi"/>
        </w:rPr>
        <w:t xml:space="preserve">s by preventing </w:t>
      </w:r>
      <w:r w:rsidR="000C544C" w:rsidRPr="0065125A">
        <w:rPr>
          <w:rFonts w:cstheme="minorHAnsi"/>
        </w:rPr>
        <w:t>such</w:t>
      </w:r>
      <w:r w:rsidR="00690246" w:rsidRPr="0065125A">
        <w:rPr>
          <w:rFonts w:cstheme="minorHAnsi"/>
        </w:rPr>
        <w:t xml:space="preserve"> </w:t>
      </w:r>
      <w:r w:rsidR="000C544C" w:rsidRPr="0065125A">
        <w:rPr>
          <w:rFonts w:cstheme="minorHAnsi"/>
        </w:rPr>
        <w:t>expressions</w:t>
      </w:r>
      <w:r w:rsidR="00690246" w:rsidRPr="0065125A">
        <w:rPr>
          <w:rFonts w:cstheme="minorHAnsi"/>
        </w:rPr>
        <w:t xml:space="preserve"> from being distributed by Canadian distribution undertakings</w:t>
      </w:r>
      <w:r w:rsidR="00201228" w:rsidRPr="0065125A">
        <w:rPr>
          <w:rFonts w:cstheme="minorHAnsi"/>
        </w:rPr>
        <w:t xml:space="preserve"> regardless of their origin</w:t>
      </w:r>
      <w:r w:rsidR="00690246" w:rsidRPr="0065125A">
        <w:rPr>
          <w:rFonts w:cstheme="minorHAnsi"/>
        </w:rPr>
        <w:t>.</w:t>
      </w:r>
      <w:r w:rsidR="00A9583D" w:rsidRPr="0065125A">
        <w:rPr>
          <w:rFonts w:cstheme="minorHAnsi"/>
        </w:rPr>
        <w:t xml:space="preserve"> </w:t>
      </w:r>
    </w:p>
    <w:p w14:paraId="03F8B320" w14:textId="62306E50" w:rsidR="00680B59" w:rsidRPr="0065125A" w:rsidRDefault="00680B59" w:rsidP="009D0F10">
      <w:pPr>
        <w:spacing w:line="480" w:lineRule="auto"/>
        <w:ind w:firstLine="720"/>
        <w:rPr>
          <w:rFonts w:cstheme="minorHAnsi"/>
        </w:rPr>
      </w:pPr>
      <w:r w:rsidRPr="0065125A">
        <w:rPr>
          <w:rFonts w:cstheme="minorHAnsi"/>
        </w:rPr>
        <w:t>Th</w:t>
      </w:r>
      <w:r w:rsidR="00B95EB6" w:rsidRPr="0065125A">
        <w:rPr>
          <w:rFonts w:cstheme="minorHAnsi"/>
        </w:rPr>
        <w:t>e underlying concern of preventing hate-promoting expressions is pressing and substantial in a free and democratic society. Canada is a nation that prides itself on tolerance and the fostering of human dignity through respect for the many racial, religious and cultural groups in the Canadian society.</w:t>
      </w:r>
      <w:r w:rsidR="008B59F4" w:rsidRPr="0065125A">
        <w:rPr>
          <w:rStyle w:val="FootnoteReference"/>
          <w:rFonts w:cstheme="minorHAnsi"/>
        </w:rPr>
        <w:footnoteReference w:id="56"/>
      </w:r>
      <w:r w:rsidR="009D0F10" w:rsidRPr="0065125A">
        <w:rPr>
          <w:rFonts w:cstheme="minorHAnsi"/>
        </w:rPr>
        <w:t xml:space="preserve"> </w:t>
      </w:r>
      <w:r w:rsidR="00B90A98" w:rsidRPr="0065125A">
        <w:rPr>
          <w:rFonts w:cstheme="minorHAnsi"/>
        </w:rPr>
        <w:t>Intimidation of identifiable groups that leads them</w:t>
      </w:r>
      <w:r w:rsidR="00AF5C9A" w:rsidRPr="0065125A">
        <w:rPr>
          <w:rFonts w:cstheme="minorHAnsi"/>
        </w:rPr>
        <w:t xml:space="preserve"> to self-marginalize </w:t>
      </w:r>
      <w:r w:rsidR="001E68F4" w:rsidRPr="0065125A">
        <w:rPr>
          <w:rFonts w:cstheme="minorHAnsi"/>
        </w:rPr>
        <w:t>substantially harms</w:t>
      </w:r>
      <w:r w:rsidR="00AF5C9A" w:rsidRPr="0065125A">
        <w:rPr>
          <w:rFonts w:cstheme="minorHAnsi"/>
        </w:rPr>
        <w:t xml:space="preserve"> </w:t>
      </w:r>
      <w:r w:rsidR="00C9236E" w:rsidRPr="0065125A">
        <w:rPr>
          <w:rFonts w:cstheme="minorHAnsi"/>
        </w:rPr>
        <w:t>Canada’s free and democratic ideas</w:t>
      </w:r>
      <w:r w:rsidR="00AF5C9A" w:rsidRPr="0065125A">
        <w:rPr>
          <w:rFonts w:cstheme="minorHAnsi"/>
        </w:rPr>
        <w:t>. S</w:t>
      </w:r>
      <w:r w:rsidR="00DF1030" w:rsidRPr="0065125A">
        <w:rPr>
          <w:rFonts w:cstheme="minorHAnsi"/>
        </w:rPr>
        <w:t xml:space="preserve">imilarly, hate speech radicalizes people </w:t>
      </w:r>
      <w:r w:rsidR="001E68F4" w:rsidRPr="0065125A">
        <w:rPr>
          <w:rFonts w:cstheme="minorHAnsi"/>
        </w:rPr>
        <w:t xml:space="preserve">by convincing individuals to adopt the hateful ideas expressed and </w:t>
      </w:r>
      <w:r w:rsidR="004F6CD7" w:rsidRPr="0065125A">
        <w:rPr>
          <w:rFonts w:cstheme="minorHAnsi"/>
        </w:rPr>
        <w:t>desensitizing</w:t>
      </w:r>
      <w:r w:rsidR="00533CE9" w:rsidRPr="0065125A">
        <w:rPr>
          <w:rFonts w:cstheme="minorHAnsi"/>
        </w:rPr>
        <w:t xml:space="preserve"> the silent majority of reasonable Canadians to </w:t>
      </w:r>
      <w:r w:rsidR="004F6CD7" w:rsidRPr="0065125A">
        <w:rPr>
          <w:rFonts w:cstheme="minorHAnsi"/>
        </w:rPr>
        <w:t>the harm intended to the targets of hateful expression.</w:t>
      </w:r>
      <w:r w:rsidR="004F6CD7" w:rsidRPr="0065125A">
        <w:rPr>
          <w:rStyle w:val="FootnoteReference"/>
          <w:rFonts w:cstheme="minorHAnsi"/>
        </w:rPr>
        <w:footnoteReference w:id="57"/>
      </w:r>
      <w:r w:rsidR="00537E13" w:rsidRPr="0065125A">
        <w:rPr>
          <w:rFonts w:cstheme="minorHAnsi"/>
        </w:rPr>
        <w:t xml:space="preserve">  Furthermore, Canada’s obligations under international law to </w:t>
      </w:r>
      <w:r w:rsidR="006B2CB7" w:rsidRPr="0065125A">
        <w:rPr>
          <w:rFonts w:cstheme="minorHAnsi"/>
        </w:rPr>
        <w:t xml:space="preserve">prevent hate speech </w:t>
      </w:r>
      <w:r w:rsidR="00C9236E" w:rsidRPr="0065125A">
        <w:rPr>
          <w:rFonts w:cstheme="minorHAnsi"/>
        </w:rPr>
        <w:t>inform</w:t>
      </w:r>
      <w:r w:rsidR="006B2CB7" w:rsidRPr="0065125A">
        <w:rPr>
          <w:rFonts w:cstheme="minorHAnsi"/>
        </w:rPr>
        <w:t xml:space="preserve"> that preventing hate speech is a legitimate concern in a free and democratic society.</w:t>
      </w:r>
      <w:r w:rsidR="006B2CB7" w:rsidRPr="0065125A">
        <w:rPr>
          <w:rStyle w:val="FootnoteReference"/>
          <w:rFonts w:cstheme="minorHAnsi"/>
        </w:rPr>
        <w:footnoteReference w:id="58"/>
      </w:r>
      <w:r w:rsidR="006B2CB7" w:rsidRPr="0065125A">
        <w:rPr>
          <w:rFonts w:cstheme="minorHAnsi"/>
        </w:rPr>
        <w:t xml:space="preserve"> </w:t>
      </w:r>
      <w:r w:rsidR="001864C5" w:rsidRPr="0065125A">
        <w:rPr>
          <w:rFonts w:cstheme="minorHAnsi"/>
        </w:rPr>
        <w:t>Canada is a signatory to the International Convention on the Elimination of All Forms of Racial Discrimination</w:t>
      </w:r>
      <w:r w:rsidR="000C14FC" w:rsidRPr="0065125A">
        <w:rPr>
          <w:rFonts w:cstheme="minorHAnsi"/>
        </w:rPr>
        <w:t xml:space="preserve"> (CERD)</w:t>
      </w:r>
      <w:r w:rsidR="001864C5" w:rsidRPr="0065125A">
        <w:rPr>
          <w:rFonts w:cstheme="minorHAnsi"/>
        </w:rPr>
        <w:t xml:space="preserve"> </w:t>
      </w:r>
      <w:r w:rsidR="000C14FC" w:rsidRPr="0065125A">
        <w:rPr>
          <w:rFonts w:cstheme="minorHAnsi"/>
        </w:rPr>
        <w:t>and the International Covenant on Civil and Political Rights (ICCPR). Article 4 of the CERD calls on all parties to condemn all propaganda and org</w:t>
      </w:r>
      <w:r w:rsidR="00A92112" w:rsidRPr="0065125A">
        <w:rPr>
          <w:rFonts w:cstheme="minorHAnsi"/>
        </w:rPr>
        <w:t>a</w:t>
      </w:r>
      <w:r w:rsidR="000C14FC" w:rsidRPr="0065125A">
        <w:rPr>
          <w:rFonts w:cstheme="minorHAnsi"/>
        </w:rPr>
        <w:t>n</w:t>
      </w:r>
      <w:r w:rsidR="00A92112" w:rsidRPr="0065125A">
        <w:rPr>
          <w:rFonts w:cstheme="minorHAnsi"/>
        </w:rPr>
        <w:t>i</w:t>
      </w:r>
      <w:r w:rsidR="000C14FC" w:rsidRPr="0065125A">
        <w:rPr>
          <w:rFonts w:cstheme="minorHAnsi"/>
        </w:rPr>
        <w:t xml:space="preserve">zations based on </w:t>
      </w:r>
      <w:r w:rsidR="002E604F" w:rsidRPr="0065125A">
        <w:rPr>
          <w:rFonts w:cstheme="minorHAnsi"/>
        </w:rPr>
        <w:t xml:space="preserve">theories of superiority based on </w:t>
      </w:r>
      <w:proofErr w:type="spellStart"/>
      <w:r w:rsidR="002E604F" w:rsidRPr="0065125A">
        <w:rPr>
          <w:rFonts w:cstheme="minorHAnsi"/>
        </w:rPr>
        <w:t>colour</w:t>
      </w:r>
      <w:proofErr w:type="spellEnd"/>
      <w:r w:rsidR="002E604F" w:rsidRPr="0065125A">
        <w:rPr>
          <w:rFonts w:cstheme="minorHAnsi"/>
        </w:rPr>
        <w:t xml:space="preserve"> or ethnic origin</w:t>
      </w:r>
      <w:r w:rsidR="00A92112" w:rsidRPr="0065125A">
        <w:rPr>
          <w:rFonts w:cstheme="minorHAnsi"/>
        </w:rPr>
        <w:t xml:space="preserve"> and to undertake positive measures to eradicate such discrimination</w:t>
      </w:r>
      <w:r w:rsidR="00C47806" w:rsidRPr="0065125A">
        <w:rPr>
          <w:rFonts w:cstheme="minorHAnsi"/>
        </w:rPr>
        <w:t>,</w:t>
      </w:r>
      <w:r w:rsidR="00836C89" w:rsidRPr="0065125A">
        <w:rPr>
          <w:rFonts w:cstheme="minorHAnsi"/>
        </w:rPr>
        <w:t xml:space="preserve"> including criminalizing the dissemination of such ideas. ICCPR </w:t>
      </w:r>
      <w:r w:rsidR="00611928" w:rsidRPr="0065125A">
        <w:rPr>
          <w:rFonts w:cstheme="minorHAnsi"/>
        </w:rPr>
        <w:t>a</w:t>
      </w:r>
      <w:r w:rsidR="00836C89" w:rsidRPr="0065125A">
        <w:rPr>
          <w:rFonts w:cstheme="minorHAnsi"/>
        </w:rPr>
        <w:t>rticle</w:t>
      </w:r>
      <w:r w:rsidR="00DD02E4" w:rsidRPr="0065125A">
        <w:rPr>
          <w:rFonts w:cstheme="minorHAnsi"/>
        </w:rPr>
        <w:t xml:space="preserve"> 20</w:t>
      </w:r>
      <w:r w:rsidR="00836C89" w:rsidRPr="0065125A">
        <w:rPr>
          <w:rFonts w:cstheme="minorHAnsi"/>
        </w:rPr>
        <w:t xml:space="preserve"> carve</w:t>
      </w:r>
      <w:r w:rsidR="00DD02E4" w:rsidRPr="0065125A">
        <w:rPr>
          <w:rFonts w:cstheme="minorHAnsi"/>
        </w:rPr>
        <w:t>s</w:t>
      </w:r>
      <w:r w:rsidR="00836C89" w:rsidRPr="0065125A">
        <w:rPr>
          <w:rFonts w:cstheme="minorHAnsi"/>
        </w:rPr>
        <w:t xml:space="preserve"> out hate speech </w:t>
      </w:r>
      <w:r w:rsidR="00611928" w:rsidRPr="0065125A">
        <w:rPr>
          <w:rFonts w:cstheme="minorHAnsi"/>
        </w:rPr>
        <w:t>from protecting freedom of expression.</w:t>
      </w:r>
      <w:r w:rsidR="00844E4F" w:rsidRPr="0065125A">
        <w:rPr>
          <w:rStyle w:val="FootnoteReference"/>
          <w:rFonts w:cstheme="minorHAnsi"/>
        </w:rPr>
        <w:footnoteReference w:id="59"/>
      </w:r>
      <w:r w:rsidR="00F7544D" w:rsidRPr="0065125A">
        <w:rPr>
          <w:rFonts w:cstheme="minorHAnsi"/>
        </w:rPr>
        <w:t xml:space="preserve"> </w:t>
      </w:r>
      <w:r w:rsidR="006A23C9" w:rsidRPr="0065125A">
        <w:rPr>
          <w:rFonts w:cstheme="minorHAnsi"/>
        </w:rPr>
        <w:t>The actions</w:t>
      </w:r>
      <w:r w:rsidR="00F7544D" w:rsidRPr="0065125A">
        <w:rPr>
          <w:rFonts w:cstheme="minorHAnsi"/>
        </w:rPr>
        <w:t xml:space="preserve"> of other democratic countries are also instructive. </w:t>
      </w:r>
      <w:r w:rsidR="00E33C26" w:rsidRPr="0065125A">
        <w:rPr>
          <w:rFonts w:cstheme="minorHAnsi"/>
        </w:rPr>
        <w:t>Freedom of expression enshrined in t</w:t>
      </w:r>
      <w:r w:rsidR="00F7544D" w:rsidRPr="0065125A">
        <w:rPr>
          <w:rFonts w:cstheme="minorHAnsi"/>
        </w:rPr>
        <w:t xml:space="preserve">he European Convention for the Protection of Human Rights and Fundamental Freedoms </w:t>
      </w:r>
      <w:r w:rsidR="00E33C26" w:rsidRPr="0065125A">
        <w:rPr>
          <w:rFonts w:cstheme="minorHAnsi"/>
        </w:rPr>
        <w:t xml:space="preserve">has been interpreted by </w:t>
      </w:r>
      <w:r w:rsidR="00844E4F" w:rsidRPr="0065125A">
        <w:rPr>
          <w:rFonts w:cstheme="minorHAnsi"/>
        </w:rPr>
        <w:t xml:space="preserve">the European Commission of Human Rights </w:t>
      </w:r>
      <w:r w:rsidR="00C47806" w:rsidRPr="0065125A">
        <w:rPr>
          <w:rFonts w:cstheme="minorHAnsi"/>
        </w:rPr>
        <w:t>to</w:t>
      </w:r>
      <w:r w:rsidR="00844E4F" w:rsidRPr="0065125A">
        <w:rPr>
          <w:rFonts w:cstheme="minorHAnsi"/>
        </w:rPr>
        <w:t xml:space="preserve"> permit the prohibition of hate speech.</w:t>
      </w:r>
      <w:r w:rsidR="00844E4F" w:rsidRPr="0065125A">
        <w:rPr>
          <w:rStyle w:val="FootnoteReference"/>
          <w:rFonts w:cstheme="minorHAnsi"/>
        </w:rPr>
        <w:footnoteReference w:id="60"/>
      </w:r>
      <w:r w:rsidR="00882A20" w:rsidRPr="0065125A">
        <w:rPr>
          <w:rFonts w:cstheme="minorHAnsi"/>
        </w:rPr>
        <w:t xml:space="preserve"> </w:t>
      </w:r>
    </w:p>
    <w:p w14:paraId="72CAC0BA" w14:textId="5597C607" w:rsidR="00166169" w:rsidRPr="0065125A" w:rsidRDefault="00166169" w:rsidP="009D0F10">
      <w:pPr>
        <w:spacing w:line="480" w:lineRule="auto"/>
        <w:ind w:firstLine="720"/>
        <w:rPr>
          <w:rFonts w:cstheme="minorHAnsi"/>
        </w:rPr>
      </w:pPr>
      <w:r w:rsidRPr="0065125A">
        <w:rPr>
          <w:rFonts w:cstheme="minorHAnsi"/>
        </w:rPr>
        <w:lastRenderedPageBreak/>
        <w:t xml:space="preserve">The second step of the Oakes test is a </w:t>
      </w:r>
      <w:r w:rsidR="007576F5" w:rsidRPr="0065125A">
        <w:rPr>
          <w:rFonts w:cstheme="minorHAnsi"/>
        </w:rPr>
        <w:t>proportionality test</w:t>
      </w:r>
      <w:r w:rsidR="00883008" w:rsidRPr="0065125A">
        <w:rPr>
          <w:rStyle w:val="FootnoteReference"/>
          <w:rFonts w:cstheme="minorHAnsi"/>
        </w:rPr>
        <w:footnoteReference w:id="61"/>
      </w:r>
      <w:r w:rsidR="007576F5" w:rsidRPr="0065125A">
        <w:rPr>
          <w:rFonts w:cstheme="minorHAnsi"/>
        </w:rPr>
        <w:t xml:space="preserve"> that </w:t>
      </w:r>
      <w:r w:rsidR="009E2DE8" w:rsidRPr="0065125A">
        <w:rPr>
          <w:rFonts w:cstheme="minorHAnsi"/>
        </w:rPr>
        <w:t xml:space="preserve">inquires whether there is a rational connection between the </w:t>
      </w:r>
      <w:r w:rsidR="00883008" w:rsidRPr="0065125A">
        <w:rPr>
          <w:rFonts w:cstheme="minorHAnsi"/>
        </w:rPr>
        <w:t>legislative measure and the objective of Parliament,</w:t>
      </w:r>
      <w:r w:rsidR="00883008" w:rsidRPr="0065125A">
        <w:rPr>
          <w:rStyle w:val="FootnoteReference"/>
          <w:rFonts w:cstheme="minorHAnsi"/>
        </w:rPr>
        <w:footnoteReference w:id="62"/>
      </w:r>
      <w:r w:rsidR="00883008" w:rsidRPr="0065125A">
        <w:rPr>
          <w:rFonts w:cstheme="minorHAnsi"/>
        </w:rPr>
        <w:t xml:space="preserve"> whether the </w:t>
      </w:r>
      <w:r w:rsidR="003B45FE" w:rsidRPr="0065125A">
        <w:rPr>
          <w:rFonts w:cstheme="minorHAnsi"/>
        </w:rPr>
        <w:t xml:space="preserve">limitation </w:t>
      </w:r>
      <w:r w:rsidR="00B06B8E" w:rsidRPr="0065125A">
        <w:rPr>
          <w:rFonts w:cstheme="minorHAnsi"/>
        </w:rPr>
        <w:t>achieves its</w:t>
      </w:r>
      <w:r w:rsidR="003B45FE" w:rsidRPr="0065125A">
        <w:rPr>
          <w:rFonts w:cstheme="minorHAnsi"/>
        </w:rPr>
        <w:t xml:space="preserve"> objectiv</w:t>
      </w:r>
      <w:r w:rsidR="00AD0E63" w:rsidRPr="0065125A">
        <w:rPr>
          <w:rFonts w:cstheme="minorHAnsi"/>
        </w:rPr>
        <w:t>e</w:t>
      </w:r>
      <w:r w:rsidR="00B06B8E" w:rsidRPr="0065125A">
        <w:rPr>
          <w:rFonts w:cstheme="minorHAnsi"/>
        </w:rPr>
        <w:t xml:space="preserve"> </w:t>
      </w:r>
      <w:r w:rsidR="00C10BB1" w:rsidRPr="0065125A">
        <w:rPr>
          <w:rFonts w:cstheme="minorHAnsi"/>
        </w:rPr>
        <w:t>with minimal impairment of the protected right</w:t>
      </w:r>
      <w:r w:rsidR="00B06B8E" w:rsidRPr="0065125A">
        <w:rPr>
          <w:rStyle w:val="FootnoteReference"/>
          <w:rFonts w:cstheme="minorHAnsi"/>
        </w:rPr>
        <w:footnoteReference w:id="63"/>
      </w:r>
      <w:r w:rsidR="003B45FE" w:rsidRPr="0065125A">
        <w:rPr>
          <w:rFonts w:cstheme="minorHAnsi"/>
        </w:rPr>
        <w:t xml:space="preserve">, and </w:t>
      </w:r>
      <w:r w:rsidR="00F11070" w:rsidRPr="0065125A">
        <w:rPr>
          <w:rFonts w:cstheme="minorHAnsi"/>
        </w:rPr>
        <w:t>whether the benefits of the legislation outweigh the harms to Charter rights.</w:t>
      </w:r>
      <w:r w:rsidR="00F11070" w:rsidRPr="0065125A">
        <w:rPr>
          <w:rStyle w:val="FootnoteReference"/>
          <w:rFonts w:cstheme="minorHAnsi"/>
        </w:rPr>
        <w:footnoteReference w:id="64"/>
      </w:r>
      <w:r w:rsidR="008F1236" w:rsidRPr="0065125A">
        <w:rPr>
          <w:rFonts w:cstheme="minorHAnsi"/>
        </w:rPr>
        <w:t xml:space="preserve"> </w:t>
      </w:r>
      <w:r w:rsidR="00C10BB1" w:rsidRPr="0065125A">
        <w:rPr>
          <w:rFonts w:cstheme="minorHAnsi"/>
        </w:rPr>
        <w:t xml:space="preserve">For the minimal impairment </w:t>
      </w:r>
      <w:r w:rsidR="00B2624B" w:rsidRPr="0065125A">
        <w:rPr>
          <w:rFonts w:cstheme="minorHAnsi"/>
        </w:rPr>
        <w:t xml:space="preserve">and </w:t>
      </w:r>
      <w:r w:rsidR="00891237" w:rsidRPr="0065125A">
        <w:rPr>
          <w:rFonts w:cstheme="minorHAnsi"/>
        </w:rPr>
        <w:t>cost-benefit analysis</w:t>
      </w:r>
      <w:r w:rsidR="00C47806" w:rsidRPr="0065125A">
        <w:rPr>
          <w:rFonts w:cstheme="minorHAnsi"/>
        </w:rPr>
        <w:t>,</w:t>
      </w:r>
      <w:r w:rsidR="00891237" w:rsidRPr="0065125A">
        <w:rPr>
          <w:rFonts w:cstheme="minorHAnsi"/>
        </w:rPr>
        <w:t xml:space="preserve"> it is necessary to find the relative value of the particular category of expression in relation </w:t>
      </w:r>
      <w:r w:rsidR="00A7746F" w:rsidRPr="0065125A">
        <w:rPr>
          <w:rFonts w:cstheme="minorHAnsi"/>
        </w:rPr>
        <w:t xml:space="preserve">to the ideals that motivated </w:t>
      </w:r>
      <w:r w:rsidR="009355B6" w:rsidRPr="0065125A">
        <w:rPr>
          <w:rFonts w:cstheme="minorHAnsi"/>
        </w:rPr>
        <w:t xml:space="preserve">the Charter protection. </w:t>
      </w:r>
      <w:r w:rsidR="00BB4C72" w:rsidRPr="0065125A">
        <w:rPr>
          <w:rFonts w:cstheme="minorHAnsi"/>
        </w:rPr>
        <w:t xml:space="preserve">The </w:t>
      </w:r>
      <w:r w:rsidR="00236AFD" w:rsidRPr="0065125A">
        <w:rPr>
          <w:rFonts w:cstheme="minorHAnsi"/>
        </w:rPr>
        <w:t>central</w:t>
      </w:r>
      <w:r w:rsidR="00BB4C72" w:rsidRPr="0065125A">
        <w:rPr>
          <w:rFonts w:cstheme="minorHAnsi"/>
        </w:rPr>
        <w:t xml:space="preserve"> values</w:t>
      </w:r>
      <w:r w:rsidR="009355B6" w:rsidRPr="0065125A">
        <w:rPr>
          <w:rFonts w:cstheme="minorHAnsi"/>
        </w:rPr>
        <w:t xml:space="preserve"> of freedom of expression </w:t>
      </w:r>
      <w:r w:rsidR="00BB4C72" w:rsidRPr="0065125A">
        <w:rPr>
          <w:rFonts w:cstheme="minorHAnsi"/>
        </w:rPr>
        <w:t>are (1)</w:t>
      </w:r>
      <w:r w:rsidR="009355B6" w:rsidRPr="0065125A">
        <w:rPr>
          <w:rFonts w:cstheme="minorHAnsi"/>
        </w:rPr>
        <w:t xml:space="preserve"> ensur</w:t>
      </w:r>
      <w:r w:rsidR="00BB4C72" w:rsidRPr="0065125A">
        <w:rPr>
          <w:rFonts w:cstheme="minorHAnsi"/>
        </w:rPr>
        <w:t>ing</w:t>
      </w:r>
      <w:r w:rsidR="009355B6" w:rsidRPr="0065125A">
        <w:rPr>
          <w:rFonts w:cstheme="minorHAnsi"/>
        </w:rPr>
        <w:t xml:space="preserve"> that truth and common goods are attained</w:t>
      </w:r>
      <w:r w:rsidR="00BB4C72" w:rsidRPr="0065125A">
        <w:rPr>
          <w:rFonts w:cstheme="minorHAnsi"/>
        </w:rPr>
        <w:t>,</w:t>
      </w:r>
      <w:r w:rsidR="00BB4C72" w:rsidRPr="0065125A">
        <w:rPr>
          <w:rStyle w:val="FootnoteReference"/>
          <w:rFonts w:cstheme="minorHAnsi"/>
        </w:rPr>
        <w:footnoteReference w:id="65"/>
      </w:r>
      <w:r w:rsidR="00BB4C72" w:rsidRPr="0065125A">
        <w:rPr>
          <w:rFonts w:cstheme="minorHAnsi"/>
        </w:rPr>
        <w:t xml:space="preserve"> (2)</w:t>
      </w:r>
      <w:r w:rsidR="00B955A0" w:rsidRPr="0065125A">
        <w:rPr>
          <w:rFonts w:cstheme="minorHAnsi"/>
        </w:rPr>
        <w:t xml:space="preserve"> ensuring individuals the ability to gain self-fulfillment by developing and articulating thoughts and ideas</w:t>
      </w:r>
      <w:r w:rsidR="00A357C5" w:rsidRPr="0065125A">
        <w:rPr>
          <w:rFonts w:cstheme="minorHAnsi"/>
        </w:rPr>
        <w:t>,</w:t>
      </w:r>
      <w:r w:rsidR="00A357C5" w:rsidRPr="0065125A">
        <w:rPr>
          <w:rStyle w:val="FootnoteReference"/>
          <w:rFonts w:cstheme="minorHAnsi"/>
        </w:rPr>
        <w:footnoteReference w:id="66"/>
      </w:r>
      <w:r w:rsidR="00A357C5" w:rsidRPr="0065125A">
        <w:rPr>
          <w:rFonts w:cstheme="minorHAnsi"/>
        </w:rPr>
        <w:t xml:space="preserve"> (3) and to ensure participation in the political process to all persons.</w:t>
      </w:r>
      <w:r w:rsidR="00A357C5" w:rsidRPr="0065125A">
        <w:rPr>
          <w:rStyle w:val="FootnoteReference"/>
          <w:rFonts w:cstheme="minorHAnsi"/>
        </w:rPr>
        <w:footnoteReference w:id="67"/>
      </w:r>
      <w:r w:rsidR="00AE3FAF" w:rsidRPr="0065125A">
        <w:rPr>
          <w:rFonts w:cstheme="minorHAnsi"/>
        </w:rPr>
        <w:t xml:space="preserve"> Hate expression</w:t>
      </w:r>
      <w:r w:rsidR="00D64417" w:rsidRPr="0065125A">
        <w:rPr>
          <w:rFonts w:cstheme="minorHAnsi"/>
        </w:rPr>
        <w:t>s such as abusive comments</w:t>
      </w:r>
      <w:r w:rsidR="00AE3FAF" w:rsidRPr="0065125A">
        <w:rPr>
          <w:rFonts w:cstheme="minorHAnsi"/>
        </w:rPr>
        <w:t xml:space="preserve"> contribute little to the </w:t>
      </w:r>
      <w:r w:rsidR="00236AFD" w:rsidRPr="0065125A">
        <w:rPr>
          <w:rFonts w:cstheme="minorHAnsi"/>
        </w:rPr>
        <w:t>central</w:t>
      </w:r>
      <w:r w:rsidR="004370D1" w:rsidRPr="0065125A">
        <w:rPr>
          <w:rFonts w:cstheme="minorHAnsi"/>
        </w:rPr>
        <w:t xml:space="preserve"> values of freedom of expression and often </w:t>
      </w:r>
      <w:r w:rsidR="00052326" w:rsidRPr="0065125A">
        <w:rPr>
          <w:rFonts w:cstheme="minorHAnsi"/>
        </w:rPr>
        <w:t xml:space="preserve">undermine </w:t>
      </w:r>
      <w:r w:rsidR="00236AFD" w:rsidRPr="0065125A">
        <w:rPr>
          <w:rFonts w:cstheme="minorHAnsi"/>
        </w:rPr>
        <w:t>them</w:t>
      </w:r>
      <w:r w:rsidR="00052326" w:rsidRPr="0065125A">
        <w:rPr>
          <w:rFonts w:cstheme="minorHAnsi"/>
        </w:rPr>
        <w:t xml:space="preserve"> by denying </w:t>
      </w:r>
      <w:r w:rsidR="00236AFD" w:rsidRPr="0065125A">
        <w:rPr>
          <w:rFonts w:cstheme="minorHAnsi"/>
        </w:rPr>
        <w:t xml:space="preserve">targeted </w:t>
      </w:r>
      <w:r w:rsidR="00052326" w:rsidRPr="0065125A">
        <w:rPr>
          <w:rFonts w:cstheme="minorHAnsi"/>
        </w:rPr>
        <w:t>individuals their right to freedom of expression</w:t>
      </w:r>
      <w:r w:rsidR="00030C31" w:rsidRPr="0065125A">
        <w:rPr>
          <w:rFonts w:cstheme="minorHAnsi"/>
        </w:rPr>
        <w:t>.</w:t>
      </w:r>
      <w:r w:rsidR="00030C31" w:rsidRPr="0065125A">
        <w:rPr>
          <w:rStyle w:val="FootnoteReference"/>
          <w:rFonts w:cstheme="minorHAnsi"/>
        </w:rPr>
        <w:footnoteReference w:id="68"/>
      </w:r>
      <w:r w:rsidR="00030C31" w:rsidRPr="0065125A">
        <w:rPr>
          <w:rFonts w:cstheme="minorHAnsi"/>
        </w:rPr>
        <w:t xml:space="preserve"> This kind of expression, while having the form and content that attracts protection, is inimical to the democratic aspirations that inspire the protections </w:t>
      </w:r>
      <w:r w:rsidR="00124D15" w:rsidRPr="0065125A">
        <w:rPr>
          <w:rFonts w:cstheme="minorHAnsi"/>
        </w:rPr>
        <w:t>enshrined under the free expression guarantee</w:t>
      </w:r>
      <w:r w:rsidR="00124D15" w:rsidRPr="0065125A">
        <w:rPr>
          <w:rStyle w:val="FootnoteReference"/>
          <w:rFonts w:cstheme="minorHAnsi"/>
        </w:rPr>
        <w:footnoteReference w:id="69"/>
      </w:r>
      <w:r w:rsidR="00124D15" w:rsidRPr="0065125A">
        <w:rPr>
          <w:rFonts w:cstheme="minorHAnsi"/>
        </w:rPr>
        <w:t xml:space="preserve"> and restrictions upon them </w:t>
      </w:r>
      <w:r w:rsidR="00ED372B" w:rsidRPr="0065125A">
        <w:rPr>
          <w:rFonts w:cstheme="minorHAnsi"/>
        </w:rPr>
        <w:t>are</w:t>
      </w:r>
      <w:r w:rsidR="00124D15" w:rsidRPr="0065125A">
        <w:rPr>
          <w:rFonts w:cstheme="minorHAnsi"/>
        </w:rPr>
        <w:t xml:space="preserve"> easier to justify</w:t>
      </w:r>
      <w:r w:rsidR="00D92679" w:rsidRPr="0065125A">
        <w:rPr>
          <w:rFonts w:cstheme="minorHAnsi"/>
        </w:rPr>
        <w:t>.</w:t>
      </w:r>
      <w:r w:rsidR="00124D15" w:rsidRPr="0065125A">
        <w:rPr>
          <w:rStyle w:val="FootnoteReference"/>
          <w:rFonts w:cstheme="minorHAnsi"/>
        </w:rPr>
        <w:footnoteReference w:id="70"/>
      </w:r>
    </w:p>
    <w:p w14:paraId="61814B6D" w14:textId="15B089B0" w:rsidR="00A7746F" w:rsidRPr="0065125A" w:rsidRDefault="00A7746F" w:rsidP="009D0F10">
      <w:pPr>
        <w:spacing w:line="480" w:lineRule="auto"/>
        <w:ind w:firstLine="720"/>
        <w:rPr>
          <w:rFonts w:cstheme="minorHAnsi"/>
        </w:rPr>
      </w:pPr>
      <w:r w:rsidRPr="0065125A">
        <w:rPr>
          <w:rFonts w:cstheme="minorHAnsi"/>
        </w:rPr>
        <w:t xml:space="preserve">In </w:t>
      </w:r>
      <w:proofErr w:type="spellStart"/>
      <w:r w:rsidR="007E7115" w:rsidRPr="0065125A">
        <w:rPr>
          <w:rFonts w:cstheme="minorHAnsi"/>
          <w:i/>
          <w:iCs/>
        </w:rPr>
        <w:t>Keegstra</w:t>
      </w:r>
      <w:proofErr w:type="spellEnd"/>
      <w:r w:rsidRPr="0065125A">
        <w:rPr>
          <w:rFonts w:cstheme="minorHAnsi"/>
        </w:rPr>
        <w:t>, the court found that legislation that suppresses hate speech is rationally connected to reducing the harms of such expression.</w:t>
      </w:r>
      <w:r w:rsidRPr="0065125A">
        <w:rPr>
          <w:rStyle w:val="FootnoteReference"/>
          <w:rFonts w:cstheme="minorHAnsi"/>
        </w:rPr>
        <w:footnoteReference w:id="71"/>
      </w:r>
      <w:r w:rsidRPr="0065125A">
        <w:rPr>
          <w:rFonts w:cstheme="minorHAnsi"/>
        </w:rPr>
        <w:t xml:space="preserve"> The same argument is likely to apply for the purposes of s.5(1)(b) of the </w:t>
      </w:r>
      <w:r w:rsidR="00ED372B" w:rsidRPr="0065125A">
        <w:rPr>
          <w:rFonts w:cstheme="minorHAnsi"/>
        </w:rPr>
        <w:t>R</w:t>
      </w:r>
      <w:r w:rsidRPr="0065125A">
        <w:rPr>
          <w:rFonts w:cstheme="minorHAnsi"/>
        </w:rPr>
        <w:t>egulation.</w:t>
      </w:r>
      <w:r w:rsidR="00DF1060" w:rsidRPr="0065125A">
        <w:rPr>
          <w:rFonts w:cstheme="minorHAnsi"/>
        </w:rPr>
        <w:t xml:space="preserve"> Under the minimal impairment inquiry, it is noteworthy that </w:t>
      </w:r>
      <w:r w:rsidR="008D4795" w:rsidRPr="0065125A">
        <w:rPr>
          <w:rFonts w:cstheme="minorHAnsi"/>
        </w:rPr>
        <w:t xml:space="preserve">there is no requirement for the government to </w:t>
      </w:r>
      <w:r w:rsidR="00E113F1" w:rsidRPr="0065125A">
        <w:rPr>
          <w:rFonts w:cstheme="minorHAnsi"/>
        </w:rPr>
        <w:t>rely upon the</w:t>
      </w:r>
      <w:r w:rsidR="008D4795" w:rsidRPr="0065125A">
        <w:rPr>
          <w:rFonts w:cstheme="minorHAnsi"/>
        </w:rPr>
        <w:t xml:space="preserve"> absolute least impairing option.</w:t>
      </w:r>
      <w:r w:rsidR="00995ED1" w:rsidRPr="0065125A">
        <w:rPr>
          <w:rStyle w:val="FootnoteReference"/>
          <w:rFonts w:cstheme="minorHAnsi"/>
        </w:rPr>
        <w:footnoteReference w:id="72"/>
      </w:r>
      <w:r w:rsidR="00E113F1" w:rsidRPr="0065125A">
        <w:rPr>
          <w:rFonts w:cstheme="minorHAnsi"/>
        </w:rPr>
        <w:t xml:space="preserve"> Where the </w:t>
      </w:r>
      <w:r w:rsidR="00184210" w:rsidRPr="0065125A">
        <w:rPr>
          <w:rFonts w:cstheme="minorHAnsi"/>
        </w:rPr>
        <w:t xml:space="preserve">objective </w:t>
      </w:r>
      <w:r w:rsidR="00184210" w:rsidRPr="0065125A">
        <w:rPr>
          <w:rFonts w:cstheme="minorHAnsi"/>
        </w:rPr>
        <w:lastRenderedPageBreak/>
        <w:t>is important</w:t>
      </w:r>
      <w:r w:rsidR="00D92679" w:rsidRPr="0065125A">
        <w:rPr>
          <w:rFonts w:cstheme="minorHAnsi"/>
        </w:rPr>
        <w:t>,</w:t>
      </w:r>
      <w:r w:rsidR="00184210" w:rsidRPr="0065125A">
        <w:rPr>
          <w:rFonts w:cstheme="minorHAnsi"/>
        </w:rPr>
        <w:t xml:space="preserve"> there may be more </w:t>
      </w:r>
      <w:r w:rsidR="00CF6461" w:rsidRPr="0065125A">
        <w:rPr>
          <w:rFonts w:cstheme="minorHAnsi"/>
        </w:rPr>
        <w:t xml:space="preserve">valid options. In </w:t>
      </w:r>
      <w:proofErr w:type="spellStart"/>
      <w:r w:rsidR="007E7115" w:rsidRPr="0065125A">
        <w:rPr>
          <w:rFonts w:cstheme="minorHAnsi"/>
          <w:i/>
          <w:iCs/>
        </w:rPr>
        <w:t>Keegstra</w:t>
      </w:r>
      <w:proofErr w:type="spellEnd"/>
      <w:r w:rsidR="006C37CD" w:rsidRPr="0065125A">
        <w:rPr>
          <w:rFonts w:cstheme="minorHAnsi"/>
        </w:rPr>
        <w:t>,</w:t>
      </w:r>
      <w:r w:rsidR="00CF6461" w:rsidRPr="0065125A">
        <w:rPr>
          <w:rFonts w:cstheme="minorHAnsi"/>
        </w:rPr>
        <w:t xml:space="preserve"> </w:t>
      </w:r>
      <w:r w:rsidR="006C37CD" w:rsidRPr="0065125A">
        <w:rPr>
          <w:rFonts w:cstheme="minorHAnsi"/>
        </w:rPr>
        <w:t>preventing</w:t>
      </w:r>
      <w:r w:rsidR="00CF6461" w:rsidRPr="0065125A">
        <w:rPr>
          <w:rFonts w:cstheme="minorHAnsi"/>
        </w:rPr>
        <w:t xml:space="preserve"> the harms of hateful expression </w:t>
      </w:r>
      <w:r w:rsidR="006C37CD" w:rsidRPr="0065125A">
        <w:rPr>
          <w:rFonts w:cstheme="minorHAnsi"/>
        </w:rPr>
        <w:t xml:space="preserve">was </w:t>
      </w:r>
      <w:r w:rsidR="00CF6461" w:rsidRPr="0065125A">
        <w:rPr>
          <w:rFonts w:cstheme="minorHAnsi"/>
        </w:rPr>
        <w:t xml:space="preserve">found to be important enough that </w:t>
      </w:r>
      <w:r w:rsidR="00A62AA3" w:rsidRPr="0065125A">
        <w:rPr>
          <w:rFonts w:cstheme="minorHAnsi"/>
        </w:rPr>
        <w:t xml:space="preserve">criminal limitations were a </w:t>
      </w:r>
      <w:r w:rsidR="00C5471C" w:rsidRPr="0065125A">
        <w:rPr>
          <w:rFonts w:cstheme="minorHAnsi"/>
        </w:rPr>
        <w:t>reasonable</w:t>
      </w:r>
      <w:r w:rsidR="00A62AA3" w:rsidRPr="0065125A">
        <w:rPr>
          <w:rFonts w:cstheme="minorHAnsi"/>
        </w:rPr>
        <w:t xml:space="preserve"> limitation</w:t>
      </w:r>
      <w:r w:rsidR="00C5471C" w:rsidRPr="0065125A">
        <w:rPr>
          <w:rFonts w:cstheme="minorHAnsi"/>
        </w:rPr>
        <w:t xml:space="preserve"> on Charter protected rights</w:t>
      </w:r>
      <w:r w:rsidR="00A62AA3" w:rsidRPr="0065125A">
        <w:rPr>
          <w:rFonts w:cstheme="minorHAnsi"/>
        </w:rPr>
        <w:t xml:space="preserve">. </w:t>
      </w:r>
      <w:r w:rsidR="00740230" w:rsidRPr="0065125A">
        <w:rPr>
          <w:rFonts w:cstheme="minorHAnsi"/>
        </w:rPr>
        <w:t xml:space="preserve">The limitations under s.5(1)(b) are much more limited and </w:t>
      </w:r>
      <w:r w:rsidR="00C5471C" w:rsidRPr="0065125A">
        <w:rPr>
          <w:rFonts w:cstheme="minorHAnsi"/>
        </w:rPr>
        <w:t>non-criminal</w:t>
      </w:r>
      <w:r w:rsidR="0067257D" w:rsidRPr="0065125A">
        <w:rPr>
          <w:rFonts w:cstheme="minorHAnsi"/>
        </w:rPr>
        <w:t xml:space="preserve">. </w:t>
      </w:r>
      <w:r w:rsidR="00C5471C" w:rsidRPr="0065125A">
        <w:rPr>
          <w:rFonts w:cstheme="minorHAnsi"/>
        </w:rPr>
        <w:t>In addition, f</w:t>
      </w:r>
      <w:r w:rsidR="0067257D" w:rsidRPr="0065125A">
        <w:rPr>
          <w:rFonts w:cstheme="minorHAnsi"/>
        </w:rPr>
        <w:t xml:space="preserve">reedom of expression does not include a </w:t>
      </w:r>
      <w:r w:rsidR="0096152E" w:rsidRPr="0065125A">
        <w:rPr>
          <w:rFonts w:cstheme="minorHAnsi"/>
        </w:rPr>
        <w:t>right to inclusion in the broadcasting system.</w:t>
      </w:r>
      <w:r w:rsidR="00737A91" w:rsidRPr="0065125A">
        <w:rPr>
          <w:rStyle w:val="FootnoteReference"/>
          <w:rFonts w:cstheme="minorHAnsi"/>
        </w:rPr>
        <w:footnoteReference w:id="73"/>
      </w:r>
      <w:r w:rsidR="007E1A3C" w:rsidRPr="0065125A">
        <w:rPr>
          <w:rFonts w:cstheme="minorHAnsi"/>
        </w:rPr>
        <w:t xml:space="preserve"> Revoking a</w:t>
      </w:r>
      <w:r w:rsidR="001B752A" w:rsidRPr="0065125A">
        <w:rPr>
          <w:rFonts w:cstheme="minorHAnsi"/>
        </w:rPr>
        <w:t>n institution</w:t>
      </w:r>
      <w:r w:rsidR="00046F9B" w:rsidRPr="0065125A">
        <w:rPr>
          <w:rFonts w:cstheme="minorHAnsi"/>
        </w:rPr>
        <w:t>’</w:t>
      </w:r>
      <w:r w:rsidR="001B752A" w:rsidRPr="0065125A">
        <w:rPr>
          <w:rFonts w:cstheme="minorHAnsi"/>
        </w:rPr>
        <w:t xml:space="preserve">s broadcasting license pursuant to s.5(1)(b) merely takes away a privilege they were granted subject to various conditions. These considerations suggest that </w:t>
      </w:r>
      <w:r w:rsidR="00990E41" w:rsidRPr="0065125A">
        <w:rPr>
          <w:rFonts w:cstheme="minorHAnsi"/>
        </w:rPr>
        <w:t>s.5(1)(b) imposes minimal impairment on affected persons’ freedom of expression.</w:t>
      </w:r>
      <w:r w:rsidR="007F59E4" w:rsidRPr="0065125A">
        <w:rPr>
          <w:rFonts w:cstheme="minorHAnsi"/>
        </w:rPr>
        <w:t xml:space="preserve"> </w:t>
      </w:r>
      <w:r w:rsidR="00CB2BFE" w:rsidRPr="0065125A">
        <w:rPr>
          <w:rFonts w:cstheme="minorHAnsi"/>
        </w:rPr>
        <w:t xml:space="preserve">  </w:t>
      </w:r>
      <w:r w:rsidR="00863DCB" w:rsidRPr="0065125A">
        <w:rPr>
          <w:rFonts w:cstheme="minorHAnsi"/>
        </w:rPr>
        <w:t xml:space="preserve">Under the cost-benefit step, the benefits of the </w:t>
      </w:r>
      <w:r w:rsidR="0044523C" w:rsidRPr="0065125A">
        <w:rPr>
          <w:rFonts w:cstheme="minorHAnsi"/>
        </w:rPr>
        <w:t>legislation’s objectives are compared to the harms to the protected right. The benefits of this ant</w:t>
      </w:r>
      <w:r w:rsidR="0026009D" w:rsidRPr="0065125A">
        <w:rPr>
          <w:rFonts w:cstheme="minorHAnsi"/>
        </w:rPr>
        <w:t xml:space="preserve">i-hate speech legislation </w:t>
      </w:r>
      <w:r w:rsidR="0042182C" w:rsidRPr="0065125A">
        <w:rPr>
          <w:rFonts w:cstheme="minorHAnsi"/>
        </w:rPr>
        <w:t>outweigh</w:t>
      </w:r>
      <w:r w:rsidR="0026009D" w:rsidRPr="0065125A">
        <w:rPr>
          <w:rFonts w:cstheme="minorHAnsi"/>
        </w:rPr>
        <w:t xml:space="preserve"> the costs</w:t>
      </w:r>
      <w:r w:rsidR="00A643F6" w:rsidRPr="0065125A">
        <w:rPr>
          <w:rFonts w:cstheme="minorHAnsi"/>
        </w:rPr>
        <w:t>. H</w:t>
      </w:r>
      <w:r w:rsidR="0026009D" w:rsidRPr="0065125A">
        <w:rPr>
          <w:rFonts w:cstheme="minorHAnsi"/>
        </w:rPr>
        <w:t xml:space="preserve">ate speech causes substantial harm </w:t>
      </w:r>
      <w:r w:rsidR="0042182C" w:rsidRPr="0065125A">
        <w:rPr>
          <w:rFonts w:cstheme="minorHAnsi"/>
        </w:rPr>
        <w:t xml:space="preserve">to </w:t>
      </w:r>
      <w:r w:rsidR="00A643F6" w:rsidRPr="0065125A">
        <w:rPr>
          <w:rFonts w:cstheme="minorHAnsi"/>
        </w:rPr>
        <w:t xml:space="preserve">both the society-at-large and the targeted persons. On the </w:t>
      </w:r>
      <w:r w:rsidR="00A17EF0" w:rsidRPr="0065125A">
        <w:rPr>
          <w:rFonts w:cstheme="minorHAnsi"/>
        </w:rPr>
        <w:t>other hand</w:t>
      </w:r>
      <w:r w:rsidR="00A643F6" w:rsidRPr="0065125A">
        <w:rPr>
          <w:rFonts w:cstheme="minorHAnsi"/>
        </w:rPr>
        <w:t xml:space="preserve">, </w:t>
      </w:r>
      <w:r w:rsidR="00A17EF0" w:rsidRPr="0065125A">
        <w:rPr>
          <w:rFonts w:cstheme="minorHAnsi"/>
        </w:rPr>
        <w:t>hate speech</w:t>
      </w:r>
      <w:r w:rsidR="00A643F6" w:rsidRPr="0065125A">
        <w:rPr>
          <w:rFonts w:cstheme="minorHAnsi"/>
        </w:rPr>
        <w:t xml:space="preserve"> itself </w:t>
      </w:r>
      <w:r w:rsidR="00A17EF0" w:rsidRPr="0065125A">
        <w:rPr>
          <w:rFonts w:cstheme="minorHAnsi"/>
        </w:rPr>
        <w:t>does not promote the values that are meant to be furthered by the principle of freedom of expression.</w:t>
      </w:r>
      <w:r w:rsidR="00A17EF0" w:rsidRPr="0065125A">
        <w:rPr>
          <w:rStyle w:val="FootnoteReference"/>
          <w:rFonts w:cstheme="minorHAnsi"/>
        </w:rPr>
        <w:footnoteReference w:id="74"/>
      </w:r>
    </w:p>
    <w:p w14:paraId="4F4B5C90" w14:textId="483CB164" w:rsidR="0006078B" w:rsidRPr="0065125A" w:rsidRDefault="0006078B" w:rsidP="009D0F10">
      <w:pPr>
        <w:spacing w:line="480" w:lineRule="auto"/>
        <w:ind w:firstLine="720"/>
        <w:rPr>
          <w:rFonts w:cstheme="minorHAnsi"/>
        </w:rPr>
      </w:pPr>
      <w:r w:rsidRPr="0065125A">
        <w:rPr>
          <w:rFonts w:cstheme="minorHAnsi"/>
        </w:rPr>
        <w:t xml:space="preserve">In conclusion, </w:t>
      </w:r>
      <w:r w:rsidR="005B6060" w:rsidRPr="0065125A">
        <w:rPr>
          <w:rFonts w:cstheme="minorHAnsi"/>
        </w:rPr>
        <w:t>a Charter challenge to s.5(1)(b) abusive comment rule in the regulation is highly unlikely to be successful. E</w:t>
      </w:r>
      <w:r w:rsidR="00FC5A59" w:rsidRPr="0065125A">
        <w:rPr>
          <w:rFonts w:cstheme="minorHAnsi"/>
        </w:rPr>
        <w:t xml:space="preserve">ven though </w:t>
      </w:r>
      <w:r w:rsidR="00927A8E" w:rsidRPr="0065125A">
        <w:rPr>
          <w:rFonts w:cstheme="minorHAnsi"/>
        </w:rPr>
        <w:t>hate</w:t>
      </w:r>
      <w:r w:rsidR="00FC5A59" w:rsidRPr="0065125A">
        <w:rPr>
          <w:rFonts w:cstheme="minorHAnsi"/>
        </w:rPr>
        <w:t xml:space="preserve"> speech is in the form of expression that prima-facie falls within the scope of freedom </w:t>
      </w:r>
      <w:r w:rsidR="00000CB4" w:rsidRPr="0065125A">
        <w:rPr>
          <w:rFonts w:cstheme="minorHAnsi"/>
        </w:rPr>
        <w:t xml:space="preserve">of </w:t>
      </w:r>
      <w:r w:rsidR="00FC5A59" w:rsidRPr="0065125A">
        <w:rPr>
          <w:rFonts w:cstheme="minorHAnsi"/>
        </w:rPr>
        <w:t>expression protected under the Charter</w:t>
      </w:r>
      <w:r w:rsidR="00927A8E" w:rsidRPr="0065125A">
        <w:rPr>
          <w:rFonts w:cstheme="minorHAnsi"/>
        </w:rPr>
        <w:t>,</w:t>
      </w:r>
      <w:r w:rsidR="005B6060" w:rsidRPr="0065125A">
        <w:rPr>
          <w:rFonts w:cstheme="minorHAnsi"/>
        </w:rPr>
        <w:t xml:space="preserve"> Canadian jurisprudence </w:t>
      </w:r>
      <w:r w:rsidR="00927A8E" w:rsidRPr="0065125A">
        <w:rPr>
          <w:rFonts w:cstheme="minorHAnsi"/>
        </w:rPr>
        <w:t>has</w:t>
      </w:r>
      <w:r w:rsidR="005B6060" w:rsidRPr="0065125A">
        <w:rPr>
          <w:rFonts w:cstheme="minorHAnsi"/>
        </w:rPr>
        <w:t xml:space="preserve"> recognized that it is inimical to the </w:t>
      </w:r>
      <w:r w:rsidR="00000CB4" w:rsidRPr="0065125A">
        <w:rPr>
          <w:rFonts w:cstheme="minorHAnsi"/>
        </w:rPr>
        <w:t>ideals protected by freedom of expression and does not attract the high level of protection that expression regularly attract</w:t>
      </w:r>
      <w:r w:rsidR="003E785C" w:rsidRPr="0065125A">
        <w:rPr>
          <w:rFonts w:cstheme="minorHAnsi"/>
        </w:rPr>
        <w:t xml:space="preserve">s. Similarities between </w:t>
      </w:r>
      <w:r w:rsidR="006A5E54" w:rsidRPr="0065125A">
        <w:rPr>
          <w:rFonts w:cstheme="minorHAnsi"/>
        </w:rPr>
        <w:t xml:space="preserve">s.319 of the </w:t>
      </w:r>
      <w:r w:rsidR="003E785C" w:rsidRPr="0065125A">
        <w:rPr>
          <w:rFonts w:cstheme="minorHAnsi"/>
        </w:rPr>
        <w:t>criminal code and s.5(1)(b) with regards to the scope of</w:t>
      </w:r>
      <w:r w:rsidR="006A5E54" w:rsidRPr="0065125A">
        <w:rPr>
          <w:rFonts w:cstheme="minorHAnsi"/>
        </w:rPr>
        <w:t xml:space="preserve"> the limitation on expression imposed by s.319 and s.5</w:t>
      </w:r>
      <w:r w:rsidR="00773D11" w:rsidRPr="0065125A">
        <w:rPr>
          <w:rFonts w:cstheme="minorHAnsi"/>
        </w:rPr>
        <w:t>(1)(b)</w:t>
      </w:r>
      <w:r w:rsidR="001E1B30" w:rsidRPr="0065125A">
        <w:rPr>
          <w:rFonts w:cstheme="minorHAnsi"/>
        </w:rPr>
        <w:t xml:space="preserve"> suggest that abusive comment rules have the same purpose as s.319</w:t>
      </w:r>
      <w:r w:rsidR="00773D11" w:rsidRPr="0065125A">
        <w:rPr>
          <w:rFonts w:cstheme="minorHAnsi"/>
        </w:rPr>
        <w:t xml:space="preserve">. The Supreme Court of Canada decision in </w:t>
      </w:r>
      <w:proofErr w:type="spellStart"/>
      <w:r w:rsidR="007E7115" w:rsidRPr="0065125A">
        <w:rPr>
          <w:rFonts w:cstheme="minorHAnsi"/>
          <w:i/>
          <w:iCs/>
        </w:rPr>
        <w:t>Keegstra</w:t>
      </w:r>
      <w:proofErr w:type="spellEnd"/>
      <w:r w:rsidR="00773D11" w:rsidRPr="0065125A">
        <w:rPr>
          <w:rFonts w:cstheme="minorHAnsi"/>
        </w:rPr>
        <w:t xml:space="preserve"> is highly indicative of the kind of </w:t>
      </w:r>
      <w:r w:rsidR="001C2775" w:rsidRPr="0065125A">
        <w:rPr>
          <w:rFonts w:cstheme="minorHAnsi"/>
        </w:rPr>
        <w:t xml:space="preserve">Oakes analysis that would be </w:t>
      </w:r>
      <w:r w:rsidR="00DC72DF" w:rsidRPr="0065125A">
        <w:rPr>
          <w:rFonts w:cstheme="minorHAnsi"/>
        </w:rPr>
        <w:t xml:space="preserve">used to justify abusive comment </w:t>
      </w:r>
      <w:r w:rsidR="00EE5743" w:rsidRPr="0065125A">
        <w:rPr>
          <w:rFonts w:cstheme="minorHAnsi"/>
        </w:rPr>
        <w:t>rules</w:t>
      </w:r>
      <w:r w:rsidR="00DC72DF" w:rsidRPr="0065125A">
        <w:rPr>
          <w:rFonts w:cstheme="minorHAnsi"/>
        </w:rPr>
        <w:t>.</w:t>
      </w:r>
    </w:p>
    <w:p w14:paraId="0809458C" w14:textId="146020E9" w:rsidR="00B721C1" w:rsidRPr="0065125A" w:rsidRDefault="00B721C1" w:rsidP="00B52B48">
      <w:pPr>
        <w:pStyle w:val="Heading2"/>
        <w:rPr>
          <w:lang w:val="en-CA"/>
        </w:rPr>
      </w:pPr>
      <w:bookmarkStart w:id="14" w:name="_Toc101364450"/>
      <w:r w:rsidRPr="0065125A">
        <w:rPr>
          <w:lang w:val="en-CA"/>
        </w:rPr>
        <w:t xml:space="preserve">Charter </w:t>
      </w:r>
      <w:r w:rsidR="008B05F8">
        <w:rPr>
          <w:lang w:val="en-CA"/>
        </w:rPr>
        <w:t>c</w:t>
      </w:r>
      <w:r w:rsidRPr="0065125A">
        <w:rPr>
          <w:lang w:val="en-CA"/>
        </w:rPr>
        <w:t>hallenge to the CRTC decision</w:t>
      </w:r>
      <w:bookmarkEnd w:id="14"/>
    </w:p>
    <w:p w14:paraId="63B4595C" w14:textId="590488F5" w:rsidR="00636310" w:rsidRPr="0065125A" w:rsidRDefault="001257CC" w:rsidP="00C22555">
      <w:pPr>
        <w:spacing w:line="480" w:lineRule="auto"/>
        <w:rPr>
          <w:rFonts w:cstheme="minorHAnsi"/>
          <w:lang w:val="en-CA"/>
        </w:rPr>
      </w:pPr>
      <w:r w:rsidRPr="0065125A">
        <w:rPr>
          <w:rFonts w:cstheme="minorHAnsi"/>
          <w:lang w:val="en-CA"/>
        </w:rPr>
        <w:lastRenderedPageBreak/>
        <w:tab/>
        <w:t xml:space="preserve">As a final </w:t>
      </w:r>
      <w:r w:rsidR="006E3392" w:rsidRPr="0065125A">
        <w:rPr>
          <w:rFonts w:cstheme="minorHAnsi"/>
          <w:lang w:val="en-CA"/>
        </w:rPr>
        <w:t xml:space="preserve">retort, RT can try to challenge the particular </w:t>
      </w:r>
      <w:r w:rsidR="00110A35" w:rsidRPr="0065125A">
        <w:rPr>
          <w:rFonts w:cstheme="minorHAnsi"/>
          <w:lang w:val="en-CA"/>
        </w:rPr>
        <w:t xml:space="preserve">CRTC decision. </w:t>
      </w:r>
      <w:r w:rsidR="00454121" w:rsidRPr="0065125A">
        <w:rPr>
          <w:rFonts w:cstheme="minorHAnsi"/>
          <w:lang w:val="en-CA"/>
        </w:rPr>
        <w:t xml:space="preserve">The Supreme Court of Canada decision in </w:t>
      </w:r>
      <w:r w:rsidR="007E7115" w:rsidRPr="0065125A">
        <w:rPr>
          <w:rFonts w:cstheme="minorHAnsi"/>
          <w:i/>
          <w:iCs/>
          <w:lang w:val="en-CA"/>
        </w:rPr>
        <w:t>Dore</w:t>
      </w:r>
      <w:r w:rsidR="00454121" w:rsidRPr="0065125A">
        <w:rPr>
          <w:rFonts w:cstheme="minorHAnsi"/>
          <w:i/>
          <w:iCs/>
          <w:lang w:val="en-CA"/>
        </w:rPr>
        <w:t xml:space="preserve"> v </w:t>
      </w:r>
      <w:proofErr w:type="spellStart"/>
      <w:r w:rsidR="00454121" w:rsidRPr="0065125A">
        <w:rPr>
          <w:rFonts w:cstheme="minorHAnsi"/>
          <w:i/>
          <w:iCs/>
          <w:lang w:val="en-CA"/>
        </w:rPr>
        <w:t>Barreau</w:t>
      </w:r>
      <w:proofErr w:type="spellEnd"/>
      <w:r w:rsidR="00454121" w:rsidRPr="0065125A">
        <w:rPr>
          <w:rFonts w:cstheme="minorHAnsi"/>
          <w:i/>
          <w:iCs/>
          <w:lang w:val="en-CA"/>
        </w:rPr>
        <w:t xml:space="preserve"> du </w:t>
      </w:r>
      <w:r w:rsidR="0038260F" w:rsidRPr="0065125A">
        <w:rPr>
          <w:rFonts w:cstheme="minorHAnsi"/>
          <w:i/>
          <w:iCs/>
          <w:lang w:val="en-CA"/>
        </w:rPr>
        <w:t>Quebec</w:t>
      </w:r>
      <w:r w:rsidR="00454121" w:rsidRPr="0065125A">
        <w:rPr>
          <w:rFonts w:cstheme="minorHAnsi"/>
          <w:lang w:val="en-CA"/>
        </w:rPr>
        <w:t xml:space="preserve"> affirmed that </w:t>
      </w:r>
      <w:r w:rsidR="00F16F4D" w:rsidRPr="0065125A">
        <w:rPr>
          <w:rFonts w:cstheme="minorHAnsi"/>
          <w:lang w:val="en-CA"/>
        </w:rPr>
        <w:t xml:space="preserve">administrative law decisions are subject </w:t>
      </w:r>
      <w:r w:rsidR="001D74D0" w:rsidRPr="0065125A">
        <w:rPr>
          <w:rFonts w:cstheme="minorHAnsi"/>
          <w:lang w:val="en-CA"/>
        </w:rPr>
        <w:t xml:space="preserve">to </w:t>
      </w:r>
      <w:r w:rsidR="00F16F4D" w:rsidRPr="0065125A">
        <w:rPr>
          <w:rFonts w:cstheme="minorHAnsi"/>
          <w:lang w:val="en-CA"/>
        </w:rPr>
        <w:t>Charter challenges.</w:t>
      </w:r>
      <w:r w:rsidR="00CE154C" w:rsidRPr="0065125A">
        <w:rPr>
          <w:rStyle w:val="FootnoteReference"/>
          <w:rFonts w:cstheme="minorHAnsi"/>
          <w:lang w:val="en-CA"/>
        </w:rPr>
        <w:footnoteReference w:id="75"/>
      </w:r>
      <w:r w:rsidR="00C94CE1" w:rsidRPr="0065125A">
        <w:rPr>
          <w:rFonts w:cstheme="minorHAnsi"/>
          <w:lang w:val="en-CA"/>
        </w:rPr>
        <w:t xml:space="preserve"> However, the standard of </w:t>
      </w:r>
      <w:r w:rsidR="001D74D0" w:rsidRPr="0065125A">
        <w:rPr>
          <w:rFonts w:cstheme="minorHAnsi"/>
          <w:lang w:val="en-CA"/>
        </w:rPr>
        <w:t>review</w:t>
      </w:r>
      <w:r w:rsidR="00C94CE1" w:rsidRPr="0065125A">
        <w:rPr>
          <w:rFonts w:cstheme="minorHAnsi"/>
          <w:lang w:val="en-CA"/>
        </w:rPr>
        <w:t xml:space="preserve"> and considerations that go into </w:t>
      </w:r>
      <w:r w:rsidR="00994563" w:rsidRPr="0065125A">
        <w:rPr>
          <w:rFonts w:cstheme="minorHAnsi"/>
          <w:lang w:val="en-CA"/>
        </w:rPr>
        <w:t>assessing whether an adjudicated decision violates the Charter are different from assessing legislation for the same purpose.</w:t>
      </w:r>
      <w:r w:rsidR="00994563" w:rsidRPr="0065125A">
        <w:rPr>
          <w:rStyle w:val="FootnoteReference"/>
          <w:rFonts w:cstheme="minorHAnsi"/>
          <w:lang w:val="en-CA"/>
        </w:rPr>
        <w:footnoteReference w:id="76"/>
      </w:r>
      <w:r w:rsidR="00994563" w:rsidRPr="0065125A">
        <w:rPr>
          <w:rFonts w:cstheme="minorHAnsi"/>
          <w:lang w:val="en-CA"/>
        </w:rPr>
        <w:t xml:space="preserve"> </w:t>
      </w:r>
    </w:p>
    <w:p w14:paraId="6AE00830" w14:textId="1C07AC70" w:rsidR="00C21FFA" w:rsidRPr="0065125A" w:rsidRDefault="009E7A23" w:rsidP="00636310">
      <w:pPr>
        <w:spacing w:line="480" w:lineRule="auto"/>
        <w:ind w:firstLine="720"/>
        <w:rPr>
          <w:rFonts w:cstheme="minorHAnsi"/>
          <w:lang w:val="en-CA"/>
        </w:rPr>
      </w:pPr>
      <w:r w:rsidRPr="0065125A">
        <w:rPr>
          <w:rFonts w:cstheme="minorHAnsi"/>
          <w:lang w:val="en-CA"/>
        </w:rPr>
        <w:t xml:space="preserve">Dure </w:t>
      </w:r>
      <w:r w:rsidR="00AA6316" w:rsidRPr="0065125A">
        <w:rPr>
          <w:rFonts w:cstheme="minorHAnsi"/>
          <w:lang w:val="en-CA"/>
        </w:rPr>
        <w:t xml:space="preserve">found that </w:t>
      </w:r>
      <w:r w:rsidRPr="0065125A">
        <w:rPr>
          <w:rFonts w:cstheme="minorHAnsi"/>
          <w:lang w:val="en-CA"/>
        </w:rPr>
        <w:t xml:space="preserve">when Charter values are applied to an </w:t>
      </w:r>
      <w:r w:rsidR="000E7512" w:rsidRPr="0065125A">
        <w:rPr>
          <w:rFonts w:cstheme="minorHAnsi"/>
          <w:lang w:val="en-CA"/>
        </w:rPr>
        <w:t>individual</w:t>
      </w:r>
      <w:r w:rsidRPr="0065125A">
        <w:rPr>
          <w:rFonts w:cstheme="minorHAnsi"/>
          <w:lang w:val="en-CA"/>
        </w:rPr>
        <w:t xml:space="preserve"> administrative decision, </w:t>
      </w:r>
      <w:r w:rsidR="00532845" w:rsidRPr="0065125A">
        <w:rPr>
          <w:rFonts w:cstheme="minorHAnsi"/>
          <w:lang w:val="en-CA"/>
        </w:rPr>
        <w:t xml:space="preserve">the standard of review is </w:t>
      </w:r>
      <w:r w:rsidR="00AA6316" w:rsidRPr="0065125A">
        <w:rPr>
          <w:rFonts w:cstheme="minorHAnsi"/>
          <w:lang w:val="en-CA"/>
        </w:rPr>
        <w:t>reasonableness</w:t>
      </w:r>
      <w:r w:rsidRPr="0065125A">
        <w:rPr>
          <w:rFonts w:cstheme="minorHAnsi"/>
          <w:lang w:val="en-CA"/>
        </w:rPr>
        <w:t xml:space="preserve">. The </w:t>
      </w:r>
      <w:r w:rsidR="00AC392E" w:rsidRPr="0065125A">
        <w:rPr>
          <w:rFonts w:cstheme="minorHAnsi"/>
          <w:lang w:val="en-CA"/>
        </w:rPr>
        <w:t xml:space="preserve">Dure Court relied upon the </w:t>
      </w:r>
      <w:r w:rsidR="007E7115" w:rsidRPr="0065125A">
        <w:rPr>
          <w:rFonts w:cstheme="minorHAnsi"/>
          <w:i/>
          <w:iCs/>
          <w:lang w:val="en-CA"/>
        </w:rPr>
        <w:t>Dunsmuir</w:t>
      </w:r>
      <w:r w:rsidR="00AC392E" w:rsidRPr="0065125A">
        <w:rPr>
          <w:rFonts w:cstheme="minorHAnsi"/>
          <w:lang w:val="en-CA"/>
        </w:rPr>
        <w:t xml:space="preserve"> contextual approach and </w:t>
      </w:r>
      <w:r w:rsidRPr="0065125A">
        <w:rPr>
          <w:rFonts w:cstheme="minorHAnsi"/>
          <w:lang w:val="en-CA"/>
        </w:rPr>
        <w:t xml:space="preserve">deference </w:t>
      </w:r>
      <w:r w:rsidR="000768B5" w:rsidRPr="0065125A">
        <w:rPr>
          <w:rFonts w:cstheme="minorHAnsi"/>
          <w:lang w:val="en-CA"/>
        </w:rPr>
        <w:t xml:space="preserve">for the specialized expertise of the administrative body </w:t>
      </w:r>
      <w:r w:rsidR="00AC392E" w:rsidRPr="0065125A">
        <w:rPr>
          <w:rFonts w:cstheme="minorHAnsi"/>
          <w:lang w:val="en-CA"/>
        </w:rPr>
        <w:t>under that approach</w:t>
      </w:r>
      <w:r w:rsidRPr="0065125A">
        <w:rPr>
          <w:rFonts w:cstheme="minorHAnsi"/>
          <w:lang w:val="en-CA"/>
        </w:rPr>
        <w:t>.</w:t>
      </w:r>
      <w:r w:rsidRPr="0065125A">
        <w:rPr>
          <w:rStyle w:val="FootnoteReference"/>
          <w:rFonts w:cstheme="minorHAnsi"/>
          <w:lang w:val="en-CA"/>
        </w:rPr>
        <w:footnoteReference w:id="77"/>
      </w:r>
      <w:r w:rsidRPr="0065125A">
        <w:rPr>
          <w:rFonts w:cstheme="minorHAnsi"/>
          <w:lang w:val="en-CA"/>
        </w:rPr>
        <w:t xml:space="preserve"> </w:t>
      </w:r>
      <w:r w:rsidR="009536AE" w:rsidRPr="0065125A">
        <w:rPr>
          <w:rFonts w:cstheme="minorHAnsi"/>
          <w:lang w:val="en-CA"/>
        </w:rPr>
        <w:t xml:space="preserve">According to </w:t>
      </w:r>
      <w:r w:rsidR="007E7115" w:rsidRPr="0065125A">
        <w:rPr>
          <w:rFonts w:cstheme="minorHAnsi"/>
          <w:i/>
          <w:iCs/>
          <w:lang w:val="en-CA"/>
        </w:rPr>
        <w:t>Dunsmuir</w:t>
      </w:r>
      <w:r w:rsidR="009536AE" w:rsidRPr="0065125A">
        <w:rPr>
          <w:rFonts w:cstheme="minorHAnsi"/>
          <w:lang w:val="en-CA"/>
        </w:rPr>
        <w:t xml:space="preserve">, when a particular “law” is being assessed for Charter compliance, </w:t>
      </w:r>
      <w:r w:rsidR="00374584" w:rsidRPr="0065125A">
        <w:rPr>
          <w:rFonts w:cstheme="minorHAnsi"/>
          <w:lang w:val="en-CA"/>
        </w:rPr>
        <w:t xml:space="preserve">the question is that of principles of general application. In such circumstances, the contextual approach required </w:t>
      </w:r>
      <w:r w:rsidR="009536AE" w:rsidRPr="0065125A">
        <w:rPr>
          <w:rFonts w:cstheme="minorHAnsi"/>
          <w:lang w:val="en-CA"/>
        </w:rPr>
        <w:t>a standard of correctness and the Oakes test</w:t>
      </w:r>
      <w:r w:rsidR="00374584" w:rsidRPr="0065125A">
        <w:rPr>
          <w:rFonts w:cstheme="minorHAnsi"/>
          <w:lang w:val="en-CA"/>
        </w:rPr>
        <w:t xml:space="preserve">. </w:t>
      </w:r>
      <w:r w:rsidR="00532845" w:rsidRPr="0065125A">
        <w:rPr>
          <w:rFonts w:cstheme="minorHAnsi"/>
          <w:lang w:val="en-CA"/>
        </w:rPr>
        <w:t xml:space="preserve">In comparison, when a particular decision is assessed for Charter compliance, the Charter values are being applied </w:t>
      </w:r>
      <w:r w:rsidR="007C61B2" w:rsidRPr="0065125A">
        <w:rPr>
          <w:rFonts w:cstheme="minorHAnsi"/>
          <w:lang w:val="en-CA"/>
        </w:rPr>
        <w:t>to a particular set of facts, and this requires</w:t>
      </w:r>
      <w:r w:rsidR="00532845" w:rsidRPr="0065125A">
        <w:rPr>
          <w:rFonts w:cstheme="minorHAnsi"/>
          <w:lang w:val="en-CA"/>
        </w:rPr>
        <w:t xml:space="preserve"> a standard of reasonableness. </w:t>
      </w:r>
      <w:r w:rsidRPr="0065125A">
        <w:rPr>
          <w:rFonts w:cstheme="minorHAnsi"/>
          <w:lang w:val="en-CA"/>
        </w:rPr>
        <w:t xml:space="preserve">This approach was adopted in a challenge to </w:t>
      </w:r>
      <w:r w:rsidR="007C61B2" w:rsidRPr="0065125A">
        <w:rPr>
          <w:rFonts w:cstheme="minorHAnsi"/>
          <w:lang w:val="en-CA"/>
        </w:rPr>
        <w:t>an</w:t>
      </w:r>
      <w:r w:rsidRPr="0065125A">
        <w:rPr>
          <w:rFonts w:cstheme="minorHAnsi"/>
          <w:lang w:val="en-CA"/>
        </w:rPr>
        <w:t xml:space="preserve"> s.3(1)(b) decision under the Radio Regulations that is identical to the </w:t>
      </w:r>
      <w:r w:rsidR="002475BA" w:rsidRPr="0065125A">
        <w:rPr>
          <w:rFonts w:cstheme="minorHAnsi"/>
          <w:lang w:val="en-CA"/>
        </w:rPr>
        <w:t xml:space="preserve">abusive comment rule at hand in </w:t>
      </w:r>
      <w:proofErr w:type="spellStart"/>
      <w:r w:rsidR="009536AE" w:rsidRPr="0065125A">
        <w:rPr>
          <w:rFonts w:cstheme="minorHAnsi"/>
          <w:lang w:val="en-CA"/>
        </w:rPr>
        <w:t>Genex</w:t>
      </w:r>
      <w:proofErr w:type="spellEnd"/>
      <w:r w:rsidR="009536AE" w:rsidRPr="0065125A">
        <w:rPr>
          <w:rFonts w:cstheme="minorHAnsi"/>
          <w:lang w:val="en-CA"/>
        </w:rPr>
        <w:t xml:space="preserve"> Communications Inc. v. Canada (Attorney General), [2005] F.C.J. No. 1440</w:t>
      </w:r>
      <w:r w:rsidR="00021A42" w:rsidRPr="0065125A">
        <w:rPr>
          <w:rFonts w:cstheme="minorHAnsi"/>
          <w:lang w:val="en-CA"/>
        </w:rPr>
        <w:t>,</w:t>
      </w:r>
      <w:r w:rsidR="00EC1EE2" w:rsidRPr="0065125A">
        <w:rPr>
          <w:rFonts w:cstheme="minorHAnsi"/>
          <w:lang w:val="en-CA"/>
        </w:rPr>
        <w:t xml:space="preserve"> and the court applied a standard of reasonableness</w:t>
      </w:r>
      <w:r w:rsidR="00021A42" w:rsidRPr="0065125A">
        <w:rPr>
          <w:rFonts w:cstheme="minorHAnsi"/>
          <w:lang w:val="en-CA"/>
        </w:rPr>
        <w:t xml:space="preserve"> to the CRTC decision</w:t>
      </w:r>
      <w:r w:rsidR="00EC1EE2" w:rsidRPr="0065125A">
        <w:rPr>
          <w:rFonts w:cstheme="minorHAnsi"/>
          <w:lang w:val="en-CA"/>
        </w:rPr>
        <w:t xml:space="preserve">. </w:t>
      </w:r>
      <w:r w:rsidR="00021A42" w:rsidRPr="0065125A">
        <w:rPr>
          <w:rFonts w:cstheme="minorHAnsi"/>
          <w:lang w:val="en-CA"/>
        </w:rPr>
        <w:t>T</w:t>
      </w:r>
      <w:r w:rsidR="00EC1EE2" w:rsidRPr="0065125A">
        <w:rPr>
          <w:rFonts w:cstheme="minorHAnsi"/>
          <w:lang w:val="en-CA"/>
        </w:rPr>
        <w:t xml:space="preserve">he problem is that </w:t>
      </w:r>
      <w:r w:rsidR="00090436" w:rsidRPr="0065125A">
        <w:rPr>
          <w:rFonts w:cstheme="minorHAnsi"/>
          <w:lang w:val="en-CA"/>
        </w:rPr>
        <w:t xml:space="preserve">the </w:t>
      </w:r>
      <w:r w:rsidR="007E7115" w:rsidRPr="0065125A">
        <w:rPr>
          <w:rFonts w:cstheme="minorHAnsi"/>
          <w:i/>
          <w:iCs/>
          <w:lang w:val="en-CA"/>
        </w:rPr>
        <w:t>Vavilov</w:t>
      </w:r>
      <w:r w:rsidR="00090436" w:rsidRPr="0065125A">
        <w:rPr>
          <w:rFonts w:cstheme="minorHAnsi"/>
          <w:lang w:val="en-CA"/>
        </w:rPr>
        <w:t xml:space="preserve"> decision made the </w:t>
      </w:r>
      <w:r w:rsidR="007E7115" w:rsidRPr="0065125A">
        <w:rPr>
          <w:rFonts w:cstheme="minorHAnsi"/>
          <w:i/>
          <w:iCs/>
          <w:lang w:val="en-CA"/>
        </w:rPr>
        <w:t>Dunsmuir</w:t>
      </w:r>
      <w:r w:rsidR="00090436" w:rsidRPr="0065125A">
        <w:rPr>
          <w:rFonts w:cstheme="minorHAnsi"/>
          <w:lang w:val="en-CA"/>
        </w:rPr>
        <w:t xml:space="preserve"> contextual approach </w:t>
      </w:r>
      <w:r w:rsidR="009422E0" w:rsidRPr="0065125A">
        <w:rPr>
          <w:rFonts w:cstheme="minorHAnsi"/>
          <w:lang w:val="en-CA"/>
        </w:rPr>
        <w:t xml:space="preserve">based on </w:t>
      </w:r>
      <w:r w:rsidR="00F60D17" w:rsidRPr="0065125A">
        <w:rPr>
          <w:rFonts w:cstheme="minorHAnsi"/>
          <w:lang w:val="en-CA"/>
        </w:rPr>
        <w:t>deference to the</w:t>
      </w:r>
      <w:r w:rsidR="009422E0" w:rsidRPr="0065125A">
        <w:rPr>
          <w:rFonts w:cstheme="minorHAnsi"/>
          <w:lang w:val="en-CA"/>
        </w:rPr>
        <w:t xml:space="preserve"> specialized expertise of administrative bodies </w:t>
      </w:r>
      <w:r w:rsidR="00090436" w:rsidRPr="0065125A">
        <w:rPr>
          <w:rFonts w:cstheme="minorHAnsi"/>
          <w:lang w:val="en-CA"/>
        </w:rPr>
        <w:t>obsolete</w:t>
      </w:r>
      <w:r w:rsidR="0035545A" w:rsidRPr="0065125A">
        <w:rPr>
          <w:rFonts w:cstheme="minorHAnsi"/>
          <w:lang w:val="en-CA"/>
        </w:rPr>
        <w:t xml:space="preserve"> without providing any guidance regarding how to decide the standard </w:t>
      </w:r>
      <w:r w:rsidR="001A13F2" w:rsidRPr="0065125A">
        <w:rPr>
          <w:rFonts w:cstheme="minorHAnsi"/>
          <w:lang w:val="en-CA"/>
        </w:rPr>
        <w:t xml:space="preserve">of review applicable to </w:t>
      </w:r>
      <w:r w:rsidR="00EC58C1" w:rsidRPr="0065125A">
        <w:rPr>
          <w:rFonts w:cstheme="minorHAnsi"/>
          <w:lang w:val="en-CA"/>
        </w:rPr>
        <w:t>an administrative decision.</w:t>
      </w:r>
      <w:r w:rsidR="00636310" w:rsidRPr="0065125A">
        <w:rPr>
          <w:rFonts w:cstheme="minorHAnsi"/>
          <w:lang w:val="en-CA"/>
        </w:rPr>
        <w:t xml:space="preserve"> Even though part of the reasoning </w:t>
      </w:r>
      <w:r w:rsidR="00B650B7" w:rsidRPr="0065125A">
        <w:rPr>
          <w:rFonts w:cstheme="minorHAnsi"/>
          <w:lang w:val="en-CA"/>
        </w:rPr>
        <w:t xml:space="preserve">operative in Dure that relied on </w:t>
      </w:r>
      <w:r w:rsidR="007E7115" w:rsidRPr="0065125A">
        <w:rPr>
          <w:rFonts w:cstheme="minorHAnsi"/>
          <w:i/>
          <w:iCs/>
          <w:lang w:val="en-CA"/>
        </w:rPr>
        <w:t>Dunsmuir</w:t>
      </w:r>
      <w:r w:rsidR="00B650B7" w:rsidRPr="0065125A">
        <w:rPr>
          <w:rFonts w:cstheme="minorHAnsi"/>
          <w:lang w:val="en-CA"/>
        </w:rPr>
        <w:t xml:space="preserve"> is now obsolete, </w:t>
      </w:r>
      <w:r w:rsidR="00021A42" w:rsidRPr="0065125A">
        <w:rPr>
          <w:rFonts w:cstheme="minorHAnsi"/>
          <w:lang w:val="en-CA"/>
        </w:rPr>
        <w:t>additional reasons</w:t>
      </w:r>
      <w:r w:rsidR="002A3A23" w:rsidRPr="0065125A">
        <w:rPr>
          <w:rFonts w:cstheme="minorHAnsi"/>
          <w:lang w:val="en-CA"/>
        </w:rPr>
        <w:t xml:space="preserve"> compelled the </w:t>
      </w:r>
      <w:r w:rsidR="00021A42" w:rsidRPr="0065125A">
        <w:rPr>
          <w:rFonts w:cstheme="minorHAnsi"/>
          <w:lang w:val="en-CA"/>
        </w:rPr>
        <w:t xml:space="preserve">Dure </w:t>
      </w:r>
      <w:r w:rsidR="002A3A23" w:rsidRPr="0065125A">
        <w:rPr>
          <w:rFonts w:cstheme="minorHAnsi"/>
          <w:lang w:val="en-CA"/>
        </w:rPr>
        <w:t xml:space="preserve">court to adopt a standard of reasonableness for review of administrative decisions. In particular, </w:t>
      </w:r>
      <w:r w:rsidR="00021A42" w:rsidRPr="0065125A">
        <w:rPr>
          <w:rFonts w:cstheme="minorHAnsi"/>
          <w:lang w:val="en-CA"/>
        </w:rPr>
        <w:t>the SCC</w:t>
      </w:r>
      <w:r w:rsidR="002A3A23" w:rsidRPr="0065125A">
        <w:rPr>
          <w:rFonts w:cstheme="minorHAnsi"/>
          <w:lang w:val="en-CA"/>
        </w:rPr>
        <w:t xml:space="preserve"> noted that it is difficult to find </w:t>
      </w:r>
      <w:r w:rsidR="00CC653F" w:rsidRPr="0065125A">
        <w:rPr>
          <w:rFonts w:cstheme="minorHAnsi"/>
          <w:lang w:val="en-CA"/>
        </w:rPr>
        <w:t xml:space="preserve">the ‘pressing and substantial’ objective of </w:t>
      </w:r>
      <w:r w:rsidR="00CC653F" w:rsidRPr="0065125A">
        <w:rPr>
          <w:rFonts w:cstheme="minorHAnsi"/>
          <w:lang w:val="en-CA"/>
        </w:rPr>
        <w:lastRenderedPageBreak/>
        <w:t xml:space="preserve">a decision </w:t>
      </w:r>
      <w:r w:rsidR="002A3A23" w:rsidRPr="0065125A">
        <w:rPr>
          <w:rFonts w:cstheme="minorHAnsi"/>
          <w:lang w:val="en-CA"/>
        </w:rPr>
        <w:t>and who would have the burden of defining and defending it.</w:t>
      </w:r>
      <w:r w:rsidR="002A3A23" w:rsidRPr="0065125A">
        <w:rPr>
          <w:rStyle w:val="FootnoteReference"/>
          <w:rFonts w:cstheme="minorHAnsi"/>
          <w:lang w:val="en-CA"/>
        </w:rPr>
        <w:footnoteReference w:id="78"/>
      </w:r>
      <w:r w:rsidR="00FC06CF" w:rsidRPr="0065125A">
        <w:rPr>
          <w:rFonts w:cstheme="minorHAnsi"/>
          <w:lang w:val="en-CA"/>
        </w:rPr>
        <w:t xml:space="preserve"> Even though </w:t>
      </w:r>
      <w:r w:rsidR="00EB6D18" w:rsidRPr="0065125A">
        <w:rPr>
          <w:rFonts w:cstheme="minorHAnsi"/>
          <w:lang w:val="en-CA"/>
        </w:rPr>
        <w:t>the administrative body that made the decision seem</w:t>
      </w:r>
      <w:r w:rsidR="00855403" w:rsidRPr="0065125A">
        <w:rPr>
          <w:rFonts w:cstheme="minorHAnsi"/>
          <w:lang w:val="en-CA"/>
        </w:rPr>
        <w:t>s</w:t>
      </w:r>
      <w:r w:rsidR="00EB6D18" w:rsidRPr="0065125A">
        <w:rPr>
          <w:rFonts w:cstheme="minorHAnsi"/>
          <w:lang w:val="en-CA"/>
        </w:rPr>
        <w:t xml:space="preserve"> to be the ideal candidate to undertake this burden, the SCC </w:t>
      </w:r>
      <w:r w:rsidR="00E86FD1" w:rsidRPr="0065125A">
        <w:rPr>
          <w:rFonts w:cstheme="minorHAnsi"/>
          <w:lang w:val="en-CA"/>
        </w:rPr>
        <w:t>did not entertain this option. Assuming the Dure decision is still good law in the post-</w:t>
      </w:r>
      <w:r w:rsidR="007E7115" w:rsidRPr="0065125A">
        <w:rPr>
          <w:rFonts w:cstheme="minorHAnsi"/>
          <w:i/>
          <w:iCs/>
          <w:lang w:val="en-CA"/>
        </w:rPr>
        <w:t>Vavilov</w:t>
      </w:r>
      <w:r w:rsidR="00E86FD1" w:rsidRPr="0065125A">
        <w:rPr>
          <w:rFonts w:cstheme="minorHAnsi"/>
          <w:lang w:val="en-CA"/>
        </w:rPr>
        <w:t xml:space="preserve"> world, the applicable standard is reasonableness.</w:t>
      </w:r>
    </w:p>
    <w:p w14:paraId="6AF2BDC0" w14:textId="2BF47289" w:rsidR="00E86FD1" w:rsidRPr="0065125A" w:rsidRDefault="009422E0" w:rsidP="00636310">
      <w:pPr>
        <w:spacing w:line="480" w:lineRule="auto"/>
        <w:ind w:firstLine="720"/>
        <w:rPr>
          <w:rFonts w:cstheme="minorHAnsi"/>
          <w:lang w:val="en-CA"/>
        </w:rPr>
      </w:pPr>
      <w:r w:rsidRPr="0065125A">
        <w:rPr>
          <w:rFonts w:cstheme="minorHAnsi"/>
          <w:lang w:val="en-CA"/>
        </w:rPr>
        <w:t>The CRTC decision is likely to survive a Charter challenge under the reasonableness standard.</w:t>
      </w:r>
      <w:r w:rsidR="00222D97" w:rsidRPr="0065125A">
        <w:rPr>
          <w:rFonts w:cstheme="minorHAnsi"/>
          <w:lang w:val="en-CA"/>
        </w:rPr>
        <w:t xml:space="preserve"> An administrative decision-maker </w:t>
      </w:r>
      <w:r w:rsidR="002543D2" w:rsidRPr="0065125A">
        <w:rPr>
          <w:rFonts w:cstheme="minorHAnsi"/>
          <w:lang w:val="en-CA"/>
        </w:rPr>
        <w:t>must</w:t>
      </w:r>
      <w:r w:rsidR="00222D97" w:rsidRPr="0065125A">
        <w:rPr>
          <w:rFonts w:cstheme="minorHAnsi"/>
          <w:lang w:val="en-CA"/>
        </w:rPr>
        <w:t xml:space="preserve"> balance the Charter values with its statutory objectives. </w:t>
      </w:r>
      <w:r w:rsidR="00A93E89" w:rsidRPr="0065125A">
        <w:rPr>
          <w:rFonts w:cstheme="minorHAnsi"/>
          <w:lang w:val="en-CA"/>
        </w:rPr>
        <w:t>At judicial</w:t>
      </w:r>
      <w:r w:rsidR="002543D2" w:rsidRPr="0065125A">
        <w:rPr>
          <w:rFonts w:cstheme="minorHAnsi"/>
          <w:lang w:val="en-CA"/>
        </w:rPr>
        <w:t xml:space="preserve"> review</w:t>
      </w:r>
      <w:r w:rsidR="00A93E89" w:rsidRPr="0065125A">
        <w:rPr>
          <w:rFonts w:cstheme="minorHAnsi"/>
          <w:lang w:val="en-CA"/>
        </w:rPr>
        <w:t xml:space="preserve">, the question is whether the </w:t>
      </w:r>
      <w:r w:rsidR="004C027E" w:rsidRPr="0065125A">
        <w:rPr>
          <w:rFonts w:cstheme="minorHAnsi"/>
          <w:lang w:val="en-CA"/>
        </w:rPr>
        <w:t>decision reflects a prop</w:t>
      </w:r>
      <w:r w:rsidR="00FD11F7" w:rsidRPr="0065125A">
        <w:rPr>
          <w:rFonts w:cstheme="minorHAnsi"/>
          <w:lang w:val="en-CA"/>
        </w:rPr>
        <w:t>ortionate balancing of the Charter protections at play.</w:t>
      </w:r>
      <w:r w:rsidR="00FD11F7" w:rsidRPr="0065125A">
        <w:rPr>
          <w:rStyle w:val="FootnoteReference"/>
          <w:rFonts w:cstheme="minorHAnsi"/>
          <w:lang w:val="en-CA"/>
        </w:rPr>
        <w:footnoteReference w:id="79"/>
      </w:r>
      <w:r w:rsidR="00FD11F7" w:rsidRPr="0065125A">
        <w:rPr>
          <w:rFonts w:cstheme="minorHAnsi"/>
          <w:lang w:val="en-CA"/>
        </w:rPr>
        <w:t xml:space="preserve"> </w:t>
      </w:r>
      <w:r w:rsidR="003657A5" w:rsidRPr="0065125A">
        <w:rPr>
          <w:rFonts w:cstheme="minorHAnsi"/>
          <w:lang w:val="en-CA"/>
        </w:rPr>
        <w:t>As</w:t>
      </w:r>
      <w:r w:rsidR="00BC0E19" w:rsidRPr="0065125A">
        <w:rPr>
          <w:rFonts w:cstheme="minorHAnsi"/>
          <w:lang w:val="en-CA"/>
        </w:rPr>
        <w:t xml:space="preserve"> discussed under the ‘Statutory Right of Appeal under s.31(2) of the Broadcasting Act’</w:t>
      </w:r>
      <w:r w:rsidR="002543D2" w:rsidRPr="0065125A">
        <w:rPr>
          <w:rFonts w:cstheme="minorHAnsi"/>
          <w:lang w:val="en-CA"/>
        </w:rPr>
        <w:t xml:space="preserve"> section,</w:t>
      </w:r>
      <w:r w:rsidR="00BC0E19" w:rsidRPr="0065125A">
        <w:rPr>
          <w:rFonts w:cstheme="minorHAnsi"/>
          <w:lang w:val="en-CA"/>
        </w:rPr>
        <w:t xml:space="preserve"> the </w:t>
      </w:r>
      <w:r w:rsidR="003657A5" w:rsidRPr="0065125A">
        <w:rPr>
          <w:rFonts w:cstheme="minorHAnsi"/>
          <w:lang w:val="en-CA"/>
        </w:rPr>
        <w:t xml:space="preserve">CRTC had plenty of evidence that RT and RT’s affiliates </w:t>
      </w:r>
      <w:r w:rsidR="00142D05" w:rsidRPr="0065125A">
        <w:rPr>
          <w:rFonts w:cstheme="minorHAnsi"/>
          <w:lang w:val="en-CA"/>
        </w:rPr>
        <w:t xml:space="preserve">propagated hate speech and abusive comments targeted at Ukrainians and other adversaries of the Russian government. The decision </w:t>
      </w:r>
      <w:r w:rsidR="00391772" w:rsidRPr="0065125A">
        <w:rPr>
          <w:rFonts w:cstheme="minorHAnsi"/>
          <w:lang w:val="en-CA"/>
        </w:rPr>
        <w:t>showed</w:t>
      </w:r>
      <w:r w:rsidR="00142D05" w:rsidRPr="0065125A">
        <w:rPr>
          <w:rFonts w:cstheme="minorHAnsi"/>
          <w:lang w:val="en-CA"/>
        </w:rPr>
        <w:t xml:space="preserve"> concern </w:t>
      </w:r>
      <w:r w:rsidR="00C702D4" w:rsidRPr="0065125A">
        <w:rPr>
          <w:rFonts w:cstheme="minorHAnsi"/>
          <w:lang w:val="en-CA"/>
        </w:rPr>
        <w:t xml:space="preserve">regarding the negative impact this decision might make on freedom of expression as well. </w:t>
      </w:r>
      <w:r w:rsidR="00391772" w:rsidRPr="0065125A">
        <w:rPr>
          <w:rFonts w:cstheme="minorHAnsi"/>
          <w:lang w:val="en-CA"/>
        </w:rPr>
        <w:t>As explained above, Canadian jurisprudence affords a lower level of protection to hate speech</w:t>
      </w:r>
      <w:r w:rsidR="00B81385" w:rsidRPr="0065125A">
        <w:rPr>
          <w:rFonts w:cstheme="minorHAnsi"/>
          <w:lang w:val="en-CA"/>
        </w:rPr>
        <w:t xml:space="preserve">. </w:t>
      </w:r>
      <w:r w:rsidR="007367BA" w:rsidRPr="0065125A">
        <w:rPr>
          <w:rFonts w:cstheme="minorHAnsi"/>
          <w:lang w:val="en-CA"/>
        </w:rPr>
        <w:t>CRTC found that protecting freedom of speech in Canada required</w:t>
      </w:r>
      <w:r w:rsidR="000C542F" w:rsidRPr="0065125A">
        <w:rPr>
          <w:rFonts w:cstheme="minorHAnsi"/>
          <w:lang w:val="en-CA"/>
        </w:rPr>
        <w:t xml:space="preserve"> preventing Russian propaganda, which seems consistent with the reasoning in </w:t>
      </w:r>
      <w:proofErr w:type="spellStart"/>
      <w:r w:rsidR="007E7115" w:rsidRPr="0065125A">
        <w:rPr>
          <w:rFonts w:cstheme="minorHAnsi"/>
          <w:i/>
          <w:iCs/>
          <w:lang w:val="en-CA"/>
        </w:rPr>
        <w:t>Keegstra</w:t>
      </w:r>
      <w:proofErr w:type="spellEnd"/>
      <w:r w:rsidR="000C542F" w:rsidRPr="0065125A">
        <w:rPr>
          <w:rFonts w:cstheme="minorHAnsi"/>
          <w:lang w:val="en-CA"/>
        </w:rPr>
        <w:t xml:space="preserve">. </w:t>
      </w:r>
      <w:r w:rsidR="00391772" w:rsidRPr="0065125A">
        <w:rPr>
          <w:rFonts w:cstheme="minorHAnsi"/>
          <w:lang w:val="en-CA"/>
        </w:rPr>
        <w:t>In addition,</w:t>
      </w:r>
      <w:r w:rsidR="00B81385" w:rsidRPr="0065125A">
        <w:rPr>
          <w:rFonts w:cstheme="minorHAnsi"/>
          <w:lang w:val="en-CA"/>
        </w:rPr>
        <w:t xml:space="preserve"> CRTC looked at practices in other democratic jurisdictions such as Europe and found that </w:t>
      </w:r>
      <w:r w:rsidR="00391772" w:rsidRPr="0065125A">
        <w:rPr>
          <w:rFonts w:cstheme="minorHAnsi"/>
          <w:lang w:val="en-CA"/>
        </w:rPr>
        <w:t>protecting</w:t>
      </w:r>
      <w:r w:rsidR="00BF122A" w:rsidRPr="0065125A">
        <w:rPr>
          <w:rFonts w:cstheme="minorHAnsi"/>
          <w:lang w:val="en-CA"/>
        </w:rPr>
        <w:t xml:space="preserve"> democratic ideals and free society in Canada required taking action against RT in the public interest. </w:t>
      </w:r>
      <w:r w:rsidR="000C542F" w:rsidRPr="0065125A">
        <w:rPr>
          <w:rFonts w:cstheme="minorHAnsi"/>
          <w:lang w:val="en-CA"/>
        </w:rPr>
        <w:t>CRTC’s decision likely evidences</w:t>
      </w:r>
      <w:r w:rsidR="00563E28" w:rsidRPr="0065125A">
        <w:rPr>
          <w:rFonts w:cstheme="minorHAnsi"/>
          <w:lang w:val="en-CA"/>
        </w:rPr>
        <w:t xml:space="preserve"> a genuine concern for balancing </w:t>
      </w:r>
      <w:r w:rsidR="0044448C" w:rsidRPr="0065125A">
        <w:rPr>
          <w:rFonts w:cstheme="minorHAnsi"/>
          <w:lang w:val="en-CA"/>
        </w:rPr>
        <w:t>freedom of expression with the statutory objectives and where the public interest in a free and democratic society lies.</w:t>
      </w:r>
    </w:p>
    <w:p w14:paraId="32DDF40B" w14:textId="7414F995" w:rsidR="0044448C" w:rsidRPr="0065125A" w:rsidRDefault="0044448C" w:rsidP="00B52B48">
      <w:pPr>
        <w:pStyle w:val="Heading1"/>
        <w:rPr>
          <w:lang w:val="en-CA"/>
        </w:rPr>
      </w:pPr>
      <w:bookmarkStart w:id="15" w:name="_Toc101364451"/>
      <w:r w:rsidRPr="0065125A">
        <w:rPr>
          <w:lang w:val="en-CA"/>
        </w:rPr>
        <w:t>Conclusion</w:t>
      </w:r>
      <w:bookmarkEnd w:id="15"/>
    </w:p>
    <w:p w14:paraId="59DE5649" w14:textId="004EE034" w:rsidR="002F1C2E" w:rsidRPr="0065125A" w:rsidRDefault="00314C71" w:rsidP="00636310">
      <w:pPr>
        <w:spacing w:line="480" w:lineRule="auto"/>
        <w:ind w:firstLine="720"/>
        <w:rPr>
          <w:rFonts w:cstheme="minorHAnsi"/>
          <w:lang w:val="en-CA"/>
        </w:rPr>
      </w:pPr>
      <w:r w:rsidRPr="0065125A">
        <w:rPr>
          <w:rFonts w:cstheme="minorHAnsi"/>
          <w:lang w:val="en-CA"/>
        </w:rPr>
        <w:t xml:space="preserve">The CRTC </w:t>
      </w:r>
      <w:r w:rsidR="008E72F1" w:rsidRPr="0065125A">
        <w:rPr>
          <w:rFonts w:cstheme="minorHAnsi"/>
          <w:lang w:val="en-CA"/>
        </w:rPr>
        <w:t xml:space="preserve">justified banning RT on the grounds that RT’s programming constituted </w:t>
      </w:r>
      <w:r w:rsidR="001A2BC0" w:rsidRPr="0065125A">
        <w:rPr>
          <w:rFonts w:cstheme="minorHAnsi"/>
          <w:lang w:val="en-CA"/>
        </w:rPr>
        <w:t xml:space="preserve">abusive comments towards Ukrainians and other enemies of the Russian government, and that it is in the </w:t>
      </w:r>
      <w:r w:rsidR="001A2BC0" w:rsidRPr="0065125A">
        <w:rPr>
          <w:rFonts w:cstheme="minorHAnsi"/>
          <w:lang w:val="en-CA"/>
        </w:rPr>
        <w:lastRenderedPageBreak/>
        <w:t>interest of public interest</w:t>
      </w:r>
      <w:r w:rsidR="00386492" w:rsidRPr="0065125A">
        <w:rPr>
          <w:rFonts w:cstheme="minorHAnsi"/>
          <w:lang w:val="en-CA"/>
        </w:rPr>
        <w:t>. The decision shows concern regarding the freedom of expression precedence this decision might create</w:t>
      </w:r>
      <w:r w:rsidR="00AD1A21" w:rsidRPr="0065125A">
        <w:rPr>
          <w:rFonts w:cstheme="minorHAnsi"/>
          <w:lang w:val="en-CA"/>
        </w:rPr>
        <w:t xml:space="preserve">. However, the CRTC correctly identifies that </w:t>
      </w:r>
      <w:r w:rsidR="00724614" w:rsidRPr="0065125A">
        <w:rPr>
          <w:rFonts w:cstheme="minorHAnsi"/>
          <w:lang w:val="en-CA"/>
        </w:rPr>
        <w:t xml:space="preserve">whitelisting Russian propaganda and hate speech would not contribute to freedom of speech in Canada. </w:t>
      </w:r>
      <w:r w:rsidR="0024292C" w:rsidRPr="0065125A">
        <w:rPr>
          <w:rFonts w:cstheme="minorHAnsi"/>
          <w:lang w:val="en-CA"/>
        </w:rPr>
        <w:t xml:space="preserve">The weakest aspect of the CRTC decision is that it relies on a mix of evidence that includes programming that was aired on Russian state-owned media, but not necessarily on </w:t>
      </w:r>
      <w:r w:rsidR="000D2F42" w:rsidRPr="0065125A">
        <w:rPr>
          <w:rFonts w:cstheme="minorHAnsi"/>
          <w:lang w:val="en-CA"/>
        </w:rPr>
        <w:t xml:space="preserve">RT. However, given that sanctioned propagandists are in key-positions of RT and the </w:t>
      </w:r>
      <w:r w:rsidR="00027F49" w:rsidRPr="0065125A">
        <w:rPr>
          <w:rFonts w:cstheme="minorHAnsi"/>
          <w:lang w:val="en-CA"/>
        </w:rPr>
        <w:t>concerns and actions of other democratic jurisdictions</w:t>
      </w:r>
      <w:r w:rsidR="00E16709" w:rsidRPr="0065125A">
        <w:rPr>
          <w:rFonts w:cstheme="minorHAnsi"/>
          <w:lang w:val="en-CA"/>
        </w:rPr>
        <w:t>, it is likely that there was enough evidence for the CRTC to make the decision that it made.</w:t>
      </w:r>
    </w:p>
    <w:sectPr w:rsidR="002F1C2E" w:rsidRPr="0065125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2A660" w14:textId="77777777" w:rsidR="001B7E55" w:rsidRDefault="001B7E55" w:rsidP="001B7E55">
      <w:pPr>
        <w:spacing w:after="0" w:line="240" w:lineRule="auto"/>
      </w:pPr>
      <w:r>
        <w:separator/>
      </w:r>
    </w:p>
  </w:endnote>
  <w:endnote w:type="continuationSeparator" w:id="0">
    <w:p w14:paraId="28C49350" w14:textId="77777777" w:rsidR="001B7E55" w:rsidRDefault="001B7E55" w:rsidP="001B7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4968626"/>
      <w:docPartObj>
        <w:docPartGallery w:val="Page Numbers (Bottom of Page)"/>
        <w:docPartUnique/>
      </w:docPartObj>
    </w:sdtPr>
    <w:sdtEndPr>
      <w:rPr>
        <w:noProof/>
      </w:rPr>
    </w:sdtEndPr>
    <w:sdtContent>
      <w:p w14:paraId="188D504D" w14:textId="414BF56F" w:rsidR="008E65C9" w:rsidRDefault="008E65C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F722D5" w14:textId="77777777" w:rsidR="008E65C9" w:rsidRDefault="008E65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67B1B" w14:textId="77777777" w:rsidR="001B7E55" w:rsidRDefault="001B7E55" w:rsidP="001B7E55">
      <w:pPr>
        <w:spacing w:after="0" w:line="240" w:lineRule="auto"/>
      </w:pPr>
      <w:r>
        <w:separator/>
      </w:r>
    </w:p>
  </w:footnote>
  <w:footnote w:type="continuationSeparator" w:id="0">
    <w:p w14:paraId="5F0A8AE0" w14:textId="77777777" w:rsidR="001B7E55" w:rsidRDefault="001B7E55" w:rsidP="001B7E55">
      <w:pPr>
        <w:spacing w:after="0" w:line="240" w:lineRule="auto"/>
      </w:pPr>
      <w:r>
        <w:continuationSeparator/>
      </w:r>
    </w:p>
  </w:footnote>
  <w:footnote w:id="1">
    <w:p w14:paraId="2A9F9F9F" w14:textId="6F1967C4" w:rsidR="001B7E55" w:rsidRPr="0065125A" w:rsidRDefault="001B7E55">
      <w:pPr>
        <w:pStyle w:val="FootnoteText"/>
        <w:rPr>
          <w:rFonts w:cstheme="minorHAnsi"/>
        </w:rPr>
      </w:pPr>
      <w:r w:rsidRPr="0065125A">
        <w:rPr>
          <w:rStyle w:val="FootnoteReference"/>
          <w:rFonts w:cstheme="minorHAnsi"/>
        </w:rPr>
        <w:footnoteRef/>
      </w:r>
      <w:r w:rsidRPr="0065125A">
        <w:rPr>
          <w:rFonts w:cstheme="minorHAnsi"/>
        </w:rPr>
        <w:t xml:space="preserve"> </w:t>
      </w:r>
      <w:r w:rsidR="00167862" w:rsidRPr="0065125A">
        <w:rPr>
          <w:rFonts w:cstheme="minorHAnsi"/>
        </w:rPr>
        <w:t xml:space="preserve">Julian Evans, “Spinning Russia”, </w:t>
      </w:r>
      <w:r w:rsidR="00167862" w:rsidRPr="0065125A">
        <w:rPr>
          <w:rFonts w:cstheme="minorHAnsi"/>
          <w:i/>
          <w:iCs/>
        </w:rPr>
        <w:t>Foreign Policy</w:t>
      </w:r>
      <w:r w:rsidR="00167862" w:rsidRPr="0065125A">
        <w:rPr>
          <w:rFonts w:cstheme="minorHAnsi"/>
        </w:rPr>
        <w:t xml:space="preserve"> (1 December 2005), online: &lt;</w:t>
      </w:r>
      <w:hyperlink r:id="rId1" w:history="1">
        <w:r w:rsidR="00167862" w:rsidRPr="0065125A">
          <w:rPr>
            <w:rStyle w:val="Hyperlink"/>
            <w:rFonts w:cstheme="minorHAnsi"/>
          </w:rPr>
          <w:t>foreignpolicy.com/2005/12/01/spinning-</w:t>
        </w:r>
        <w:proofErr w:type="spellStart"/>
        <w:r w:rsidR="00167862" w:rsidRPr="0065125A">
          <w:rPr>
            <w:rStyle w:val="Hyperlink"/>
            <w:rFonts w:cstheme="minorHAnsi"/>
          </w:rPr>
          <w:t>russia</w:t>
        </w:r>
        <w:proofErr w:type="spellEnd"/>
        <w:r w:rsidR="00167862" w:rsidRPr="0065125A">
          <w:rPr>
            <w:rStyle w:val="Hyperlink"/>
            <w:rFonts w:cstheme="minorHAnsi"/>
          </w:rPr>
          <w:t>/</w:t>
        </w:r>
      </w:hyperlink>
      <w:r w:rsidR="00167862" w:rsidRPr="0065125A">
        <w:rPr>
          <w:rFonts w:cstheme="minorHAnsi"/>
        </w:rPr>
        <w:t>&gt;.</w:t>
      </w:r>
    </w:p>
  </w:footnote>
  <w:footnote w:id="2">
    <w:p w14:paraId="2DAA7A01" w14:textId="274045EB" w:rsidR="00597E33" w:rsidRPr="0065125A" w:rsidRDefault="00597E33">
      <w:pPr>
        <w:pStyle w:val="FootnoteText"/>
        <w:rPr>
          <w:rFonts w:cstheme="minorHAnsi"/>
        </w:rPr>
      </w:pPr>
      <w:r w:rsidRPr="0065125A">
        <w:rPr>
          <w:rStyle w:val="FootnoteReference"/>
          <w:rFonts w:cstheme="minorHAnsi"/>
        </w:rPr>
        <w:footnoteRef/>
      </w:r>
      <w:r w:rsidRPr="0065125A">
        <w:rPr>
          <w:rFonts w:cstheme="minorHAnsi"/>
        </w:rPr>
        <w:t xml:space="preserve"> Ibid.</w:t>
      </w:r>
    </w:p>
  </w:footnote>
  <w:footnote w:id="3">
    <w:p w14:paraId="3E17A180" w14:textId="3E657222" w:rsidR="008318FE" w:rsidRPr="0065125A" w:rsidRDefault="008318FE">
      <w:pPr>
        <w:pStyle w:val="FootnoteText"/>
        <w:rPr>
          <w:rFonts w:cstheme="minorHAnsi"/>
        </w:rPr>
      </w:pPr>
      <w:r w:rsidRPr="0065125A">
        <w:rPr>
          <w:rStyle w:val="FootnoteReference"/>
          <w:rFonts w:cstheme="minorHAnsi"/>
        </w:rPr>
        <w:footnoteRef/>
      </w:r>
      <w:r w:rsidRPr="0065125A">
        <w:rPr>
          <w:rFonts w:cstheme="minorHAnsi"/>
        </w:rPr>
        <w:t xml:space="preserve"> </w:t>
      </w:r>
      <w:r w:rsidR="00167862" w:rsidRPr="0065125A">
        <w:rPr>
          <w:rFonts w:cstheme="minorHAnsi"/>
        </w:rPr>
        <w:t xml:space="preserve">About Us, online: </w:t>
      </w:r>
      <w:r w:rsidR="00167862" w:rsidRPr="0065125A">
        <w:rPr>
          <w:rFonts w:cstheme="minorHAnsi"/>
          <w:i/>
          <w:iCs/>
        </w:rPr>
        <w:t>Russia Today</w:t>
      </w:r>
      <w:r w:rsidR="00167862" w:rsidRPr="0065125A">
        <w:rPr>
          <w:rFonts w:cstheme="minorHAnsi"/>
        </w:rPr>
        <w:t xml:space="preserve"> &lt;</w:t>
      </w:r>
      <w:hyperlink r:id="rId2" w:history="1">
        <w:r w:rsidR="00167862" w:rsidRPr="0065125A">
          <w:rPr>
            <w:rStyle w:val="Hyperlink"/>
            <w:rFonts w:cstheme="minorHAnsi"/>
          </w:rPr>
          <w:t>www.rt.com/about-us/</w:t>
        </w:r>
      </w:hyperlink>
      <w:r w:rsidR="00167862" w:rsidRPr="0065125A">
        <w:rPr>
          <w:rFonts w:cstheme="minorHAnsi"/>
        </w:rPr>
        <w:t>&gt;.</w:t>
      </w:r>
    </w:p>
  </w:footnote>
  <w:footnote w:id="4">
    <w:p w14:paraId="62518228" w14:textId="361B94B3" w:rsidR="00AA7581" w:rsidRPr="0065125A" w:rsidRDefault="00AA7581">
      <w:pPr>
        <w:pStyle w:val="FootnoteText"/>
        <w:rPr>
          <w:rFonts w:cstheme="minorHAnsi"/>
        </w:rPr>
      </w:pPr>
      <w:r w:rsidRPr="0065125A">
        <w:rPr>
          <w:rStyle w:val="FootnoteReference"/>
          <w:rFonts w:cstheme="minorHAnsi"/>
        </w:rPr>
        <w:footnoteRef/>
      </w:r>
      <w:r w:rsidRPr="0065125A">
        <w:rPr>
          <w:rFonts w:cstheme="minorHAnsi"/>
        </w:rPr>
        <w:t xml:space="preserve"> </w:t>
      </w:r>
      <w:r w:rsidR="00342913" w:rsidRPr="0065125A">
        <w:rPr>
          <w:rFonts w:cstheme="minorHAnsi"/>
        </w:rPr>
        <w:t xml:space="preserve">Julian Evans, “Spinning Russia”, </w:t>
      </w:r>
      <w:r w:rsidR="00342913" w:rsidRPr="0065125A">
        <w:rPr>
          <w:rFonts w:cstheme="minorHAnsi"/>
          <w:i/>
          <w:iCs/>
        </w:rPr>
        <w:t>Foreign Policy</w:t>
      </w:r>
      <w:r w:rsidR="00342913" w:rsidRPr="0065125A">
        <w:rPr>
          <w:rFonts w:cstheme="minorHAnsi"/>
        </w:rPr>
        <w:t xml:space="preserve"> (</w:t>
      </w:r>
      <w:r w:rsidR="00720843" w:rsidRPr="0065125A">
        <w:rPr>
          <w:rFonts w:cstheme="minorHAnsi"/>
        </w:rPr>
        <w:t xml:space="preserve">1 December 2005), online: </w:t>
      </w:r>
      <w:r w:rsidR="00051239" w:rsidRPr="0065125A">
        <w:rPr>
          <w:rFonts w:cstheme="minorHAnsi"/>
        </w:rPr>
        <w:t>&lt;</w:t>
      </w:r>
      <w:hyperlink r:id="rId3" w:history="1">
        <w:r w:rsidR="00051239" w:rsidRPr="0065125A">
          <w:rPr>
            <w:rStyle w:val="Hyperlink"/>
            <w:rFonts w:cstheme="minorHAnsi"/>
          </w:rPr>
          <w:t>foreignpolicy.com/2005/12/01/spinning-</w:t>
        </w:r>
        <w:proofErr w:type="spellStart"/>
        <w:r w:rsidR="00051239" w:rsidRPr="0065125A">
          <w:rPr>
            <w:rStyle w:val="Hyperlink"/>
            <w:rFonts w:cstheme="minorHAnsi"/>
          </w:rPr>
          <w:t>russia</w:t>
        </w:r>
        <w:proofErr w:type="spellEnd"/>
        <w:r w:rsidR="00051239" w:rsidRPr="0065125A">
          <w:rPr>
            <w:rStyle w:val="Hyperlink"/>
            <w:rFonts w:cstheme="minorHAnsi"/>
          </w:rPr>
          <w:t>/</w:t>
        </w:r>
      </w:hyperlink>
      <w:r w:rsidR="00051239" w:rsidRPr="0065125A">
        <w:rPr>
          <w:rFonts w:cstheme="minorHAnsi"/>
        </w:rPr>
        <w:t>&gt;</w:t>
      </w:r>
      <w:r w:rsidR="002535D4" w:rsidRPr="0065125A">
        <w:rPr>
          <w:rFonts w:cstheme="minorHAnsi"/>
        </w:rPr>
        <w:t>.</w:t>
      </w:r>
    </w:p>
  </w:footnote>
  <w:footnote w:id="5">
    <w:p w14:paraId="04EDF3BE" w14:textId="49A24949" w:rsidR="00CB0DB7" w:rsidRPr="0065125A" w:rsidRDefault="00CB0DB7">
      <w:pPr>
        <w:pStyle w:val="FootnoteText"/>
        <w:rPr>
          <w:rFonts w:cstheme="minorHAnsi"/>
        </w:rPr>
      </w:pPr>
      <w:r w:rsidRPr="0065125A">
        <w:rPr>
          <w:rStyle w:val="FootnoteReference"/>
          <w:rFonts w:cstheme="minorHAnsi"/>
        </w:rPr>
        <w:footnoteRef/>
      </w:r>
      <w:r w:rsidRPr="0065125A">
        <w:rPr>
          <w:rFonts w:cstheme="minorHAnsi"/>
        </w:rPr>
        <w:t xml:space="preserve"> </w:t>
      </w:r>
      <w:r w:rsidR="009F45E2" w:rsidRPr="0065125A">
        <w:rPr>
          <w:rFonts w:cstheme="minorHAnsi"/>
          <w:i/>
          <w:iCs/>
        </w:rPr>
        <w:t xml:space="preserve">Broadcasting Act, </w:t>
      </w:r>
      <w:r w:rsidR="009F45E2" w:rsidRPr="0065125A">
        <w:rPr>
          <w:rFonts w:cstheme="minorHAnsi"/>
        </w:rPr>
        <w:t>SC 1991, c11</w:t>
      </w:r>
      <w:r w:rsidR="000C2C16" w:rsidRPr="0065125A">
        <w:rPr>
          <w:rFonts w:cstheme="minorHAnsi"/>
        </w:rPr>
        <w:t>,</w:t>
      </w:r>
      <w:r w:rsidR="00FE0AE0" w:rsidRPr="0065125A">
        <w:rPr>
          <w:rFonts w:cstheme="minorHAnsi"/>
        </w:rPr>
        <w:t xml:space="preserve"> s 3(1).</w:t>
      </w:r>
    </w:p>
  </w:footnote>
  <w:footnote w:id="6">
    <w:p w14:paraId="70A2CF54" w14:textId="50C2E066" w:rsidR="0043416F" w:rsidRPr="0065125A" w:rsidRDefault="0043416F">
      <w:pPr>
        <w:pStyle w:val="FootnoteText"/>
        <w:rPr>
          <w:rFonts w:cstheme="minorHAnsi"/>
        </w:rPr>
      </w:pPr>
      <w:r w:rsidRPr="0065125A">
        <w:rPr>
          <w:rStyle w:val="FootnoteReference"/>
          <w:rFonts w:cstheme="minorHAnsi"/>
        </w:rPr>
        <w:footnoteRef/>
      </w:r>
      <w:r w:rsidRPr="0065125A">
        <w:rPr>
          <w:rFonts w:cstheme="minorHAnsi"/>
        </w:rPr>
        <w:t xml:space="preserve"> </w:t>
      </w:r>
      <w:r w:rsidR="007C6459" w:rsidRPr="0065125A">
        <w:rPr>
          <w:rFonts w:cstheme="minorHAnsi"/>
        </w:rPr>
        <w:t>About Us,</w:t>
      </w:r>
      <w:r w:rsidR="00113C32" w:rsidRPr="0065125A">
        <w:rPr>
          <w:rFonts w:cstheme="minorHAnsi"/>
        </w:rPr>
        <w:t xml:space="preserve"> online: </w:t>
      </w:r>
      <w:r w:rsidR="00113C32" w:rsidRPr="0065125A">
        <w:rPr>
          <w:rFonts w:cstheme="minorHAnsi"/>
          <w:i/>
          <w:iCs/>
        </w:rPr>
        <w:t>Russia Today</w:t>
      </w:r>
      <w:r w:rsidR="00113C32" w:rsidRPr="0065125A">
        <w:rPr>
          <w:rFonts w:cstheme="minorHAnsi"/>
        </w:rPr>
        <w:t xml:space="preserve"> </w:t>
      </w:r>
      <w:r w:rsidR="00167862" w:rsidRPr="0065125A">
        <w:rPr>
          <w:rFonts w:cstheme="minorHAnsi"/>
        </w:rPr>
        <w:t>&lt;</w:t>
      </w:r>
      <w:hyperlink r:id="rId4" w:history="1">
        <w:r w:rsidR="00167862" w:rsidRPr="0065125A">
          <w:rPr>
            <w:rStyle w:val="Hyperlink"/>
            <w:rFonts w:cstheme="minorHAnsi"/>
          </w:rPr>
          <w:t>www.rt.com/about-us/</w:t>
        </w:r>
      </w:hyperlink>
      <w:r w:rsidR="00167862" w:rsidRPr="0065125A">
        <w:rPr>
          <w:rFonts w:cstheme="minorHAnsi"/>
        </w:rPr>
        <w:t>&gt;.</w:t>
      </w:r>
    </w:p>
  </w:footnote>
  <w:footnote w:id="7">
    <w:p w14:paraId="19C58936" w14:textId="1F301A86" w:rsidR="004915F2" w:rsidRPr="0065125A" w:rsidRDefault="004915F2">
      <w:pPr>
        <w:pStyle w:val="FootnoteText"/>
        <w:rPr>
          <w:rFonts w:cstheme="minorHAnsi"/>
        </w:rPr>
      </w:pPr>
      <w:r w:rsidRPr="0065125A">
        <w:rPr>
          <w:rStyle w:val="FootnoteReference"/>
          <w:rFonts w:cstheme="minorHAnsi"/>
        </w:rPr>
        <w:footnoteRef/>
      </w:r>
      <w:r w:rsidRPr="0065125A">
        <w:rPr>
          <w:rFonts w:cstheme="minorHAnsi"/>
        </w:rPr>
        <w:t xml:space="preserve"> </w:t>
      </w:r>
      <w:r w:rsidR="002202B5" w:rsidRPr="0065125A">
        <w:rPr>
          <w:rFonts w:cstheme="minorHAnsi"/>
        </w:rPr>
        <w:t>James Kirchick</w:t>
      </w:r>
      <w:r w:rsidR="00C2039D" w:rsidRPr="0065125A">
        <w:rPr>
          <w:rFonts w:cstheme="minorHAnsi"/>
        </w:rPr>
        <w:t>, “RT wants to spread Moscow’s propaganda here. Let’s treat it</w:t>
      </w:r>
      <w:r w:rsidR="002C6F39" w:rsidRPr="0065125A">
        <w:rPr>
          <w:rFonts w:cstheme="minorHAnsi"/>
        </w:rPr>
        <w:t xml:space="preserve"> that way”, </w:t>
      </w:r>
      <w:r w:rsidR="002C6F39" w:rsidRPr="0065125A">
        <w:rPr>
          <w:rFonts w:cstheme="minorHAnsi"/>
          <w:i/>
          <w:iCs/>
        </w:rPr>
        <w:t xml:space="preserve">The Washington Post </w:t>
      </w:r>
      <w:r w:rsidR="002C6F39" w:rsidRPr="0065125A">
        <w:rPr>
          <w:rFonts w:cstheme="minorHAnsi"/>
        </w:rPr>
        <w:t>(20 September 2017)</w:t>
      </w:r>
      <w:r w:rsidR="002C6F39" w:rsidRPr="0065125A">
        <w:rPr>
          <w:rFonts w:cstheme="minorHAnsi"/>
          <w:i/>
          <w:iCs/>
        </w:rPr>
        <w:t xml:space="preserve">, </w:t>
      </w:r>
      <w:r w:rsidR="002C6F39" w:rsidRPr="0065125A">
        <w:rPr>
          <w:rFonts w:cstheme="minorHAnsi"/>
        </w:rPr>
        <w:t>online:</w:t>
      </w:r>
      <w:r w:rsidR="004507F5" w:rsidRPr="0065125A">
        <w:rPr>
          <w:rFonts w:cstheme="minorHAnsi"/>
        </w:rPr>
        <w:t xml:space="preserve"> </w:t>
      </w:r>
      <w:r w:rsidR="00E54A5C" w:rsidRPr="0065125A">
        <w:rPr>
          <w:rFonts w:cstheme="minorHAnsi"/>
        </w:rPr>
        <w:t>&lt;</w:t>
      </w:r>
      <w:hyperlink r:id="rId5" w:history="1">
        <w:r w:rsidR="009D5B77" w:rsidRPr="0065125A">
          <w:rPr>
            <w:rStyle w:val="Hyperlink"/>
            <w:rFonts w:cstheme="minorHAnsi"/>
          </w:rPr>
          <w:t>www.washingtonpost.com/news/posteverything/wp/2017/09/20/rt-wants-to-spread-moscows-propaganda-here-lets-treat-it-that-way/</w:t>
        </w:r>
      </w:hyperlink>
      <w:r w:rsidR="00E54A5C" w:rsidRPr="0065125A">
        <w:rPr>
          <w:rFonts w:cstheme="minorHAnsi"/>
        </w:rPr>
        <w:t>&gt;</w:t>
      </w:r>
      <w:r w:rsidR="004507F5" w:rsidRPr="0065125A">
        <w:rPr>
          <w:rFonts w:cstheme="minorHAnsi"/>
        </w:rPr>
        <w:t>.</w:t>
      </w:r>
    </w:p>
  </w:footnote>
  <w:footnote w:id="8">
    <w:p w14:paraId="2DBF5294" w14:textId="65919BB6" w:rsidR="00C5730D" w:rsidRPr="0065125A" w:rsidRDefault="00C5730D">
      <w:pPr>
        <w:pStyle w:val="FootnoteText"/>
        <w:rPr>
          <w:rFonts w:cstheme="minorHAnsi"/>
        </w:rPr>
      </w:pPr>
      <w:r w:rsidRPr="0065125A">
        <w:rPr>
          <w:rStyle w:val="FootnoteReference"/>
          <w:rFonts w:cstheme="minorHAnsi"/>
        </w:rPr>
        <w:footnoteRef/>
      </w:r>
      <w:r w:rsidRPr="0065125A">
        <w:rPr>
          <w:rFonts w:cstheme="minorHAnsi"/>
        </w:rPr>
        <w:t xml:space="preserve"> </w:t>
      </w:r>
      <w:r w:rsidR="00E01879" w:rsidRPr="0065125A">
        <w:rPr>
          <w:rFonts w:cstheme="minorHAnsi"/>
        </w:rPr>
        <w:t>Jasper Jackson, “</w:t>
      </w:r>
      <w:r w:rsidR="00224D86" w:rsidRPr="0065125A">
        <w:rPr>
          <w:rFonts w:cstheme="minorHAnsi"/>
        </w:rPr>
        <w:t xml:space="preserve">RT sanctioned by </w:t>
      </w:r>
      <w:proofErr w:type="spellStart"/>
      <w:r w:rsidR="00224D86" w:rsidRPr="0065125A">
        <w:rPr>
          <w:rFonts w:cstheme="minorHAnsi"/>
        </w:rPr>
        <w:t>Ofcom</w:t>
      </w:r>
      <w:proofErr w:type="spellEnd"/>
      <w:r w:rsidR="00224D86" w:rsidRPr="0065125A">
        <w:rPr>
          <w:rFonts w:cstheme="minorHAnsi"/>
        </w:rPr>
        <w:t xml:space="preserve"> over series of misleading and biased articles”, </w:t>
      </w:r>
      <w:r w:rsidR="00224D86" w:rsidRPr="0065125A">
        <w:rPr>
          <w:rFonts w:cstheme="minorHAnsi"/>
          <w:i/>
          <w:iCs/>
        </w:rPr>
        <w:t xml:space="preserve">The Guardian </w:t>
      </w:r>
      <w:r w:rsidR="00224D86" w:rsidRPr="0065125A">
        <w:rPr>
          <w:rFonts w:cstheme="minorHAnsi"/>
        </w:rPr>
        <w:t xml:space="preserve">(21 September 2015), online: </w:t>
      </w:r>
      <w:r w:rsidR="007C04A9" w:rsidRPr="0065125A">
        <w:rPr>
          <w:rFonts w:cstheme="minorHAnsi"/>
        </w:rPr>
        <w:t>&lt;</w:t>
      </w:r>
      <w:hyperlink r:id="rId6" w:history="1">
        <w:r w:rsidR="00AA5839" w:rsidRPr="0065125A">
          <w:rPr>
            <w:rStyle w:val="Hyperlink"/>
            <w:rFonts w:cstheme="minorHAnsi"/>
          </w:rPr>
          <w:t>https://www.theguardian.com/media/2015/sep/21/rt-sanctioned-over-series-of-misleading-articles-by-media-watchdog</w:t>
        </w:r>
      </w:hyperlink>
      <w:r w:rsidR="007C04A9" w:rsidRPr="0065125A">
        <w:rPr>
          <w:rFonts w:cstheme="minorHAnsi"/>
        </w:rPr>
        <w:t>&gt;.</w:t>
      </w:r>
      <w:r w:rsidR="004B1F09" w:rsidRPr="0065125A">
        <w:rPr>
          <w:rFonts w:cstheme="minorHAnsi"/>
        </w:rPr>
        <w:t xml:space="preserve"> </w:t>
      </w:r>
    </w:p>
  </w:footnote>
  <w:footnote w:id="9">
    <w:p w14:paraId="1AE12FB6" w14:textId="065F3231" w:rsidR="00C5730D" w:rsidRPr="0065125A" w:rsidRDefault="00C5730D">
      <w:pPr>
        <w:pStyle w:val="FootnoteText"/>
        <w:rPr>
          <w:rFonts w:cstheme="minorHAnsi"/>
        </w:rPr>
      </w:pPr>
      <w:r w:rsidRPr="0065125A">
        <w:rPr>
          <w:rStyle w:val="FootnoteReference"/>
          <w:rFonts w:cstheme="minorHAnsi"/>
        </w:rPr>
        <w:footnoteRef/>
      </w:r>
      <w:r w:rsidRPr="0065125A">
        <w:rPr>
          <w:rFonts w:cstheme="minorHAnsi"/>
        </w:rPr>
        <w:t xml:space="preserve"> </w:t>
      </w:r>
      <w:r w:rsidR="009841EE" w:rsidRPr="0065125A">
        <w:rPr>
          <w:rFonts w:cstheme="minorHAnsi"/>
          <w:i/>
          <w:iCs/>
        </w:rPr>
        <w:t xml:space="preserve">Review of the authorization to distribute Russia Today (RT) and RT France pursuant to the </w:t>
      </w:r>
      <w:r w:rsidR="00BF613C" w:rsidRPr="0065125A">
        <w:rPr>
          <w:rFonts w:cstheme="minorHAnsi"/>
          <w:i/>
          <w:iCs/>
        </w:rPr>
        <w:t>List</w:t>
      </w:r>
      <w:r w:rsidR="00E54A85" w:rsidRPr="0065125A">
        <w:rPr>
          <w:rFonts w:cstheme="minorHAnsi"/>
          <w:i/>
          <w:iCs/>
        </w:rPr>
        <w:t xml:space="preserve"> of non-Canadian programming services and stations authorized for distribution </w:t>
      </w:r>
      <w:r w:rsidR="00E54A85" w:rsidRPr="0065125A">
        <w:rPr>
          <w:rFonts w:cstheme="minorHAnsi"/>
        </w:rPr>
        <w:t>(16 March 2022)</w:t>
      </w:r>
      <w:r w:rsidR="00CF5C49" w:rsidRPr="0065125A">
        <w:rPr>
          <w:rFonts w:cstheme="minorHAnsi"/>
        </w:rPr>
        <w:t>, CRTC 2022-68</w:t>
      </w:r>
      <w:r w:rsidR="007A69CF" w:rsidRPr="0065125A">
        <w:rPr>
          <w:rFonts w:cstheme="minorHAnsi"/>
        </w:rPr>
        <w:t xml:space="preserve"> </w:t>
      </w:r>
      <w:r w:rsidR="007D7696" w:rsidRPr="0065125A">
        <w:rPr>
          <w:rFonts w:cstheme="minorHAnsi"/>
        </w:rPr>
        <w:t>at para 32</w:t>
      </w:r>
      <w:r w:rsidR="002A7DD8" w:rsidRPr="0065125A">
        <w:rPr>
          <w:rFonts w:cstheme="minorHAnsi"/>
        </w:rPr>
        <w:t xml:space="preserve"> </w:t>
      </w:r>
      <w:r w:rsidR="007A69CF" w:rsidRPr="0065125A">
        <w:rPr>
          <w:rFonts w:cstheme="minorHAnsi"/>
        </w:rPr>
        <w:t xml:space="preserve">[CRTC </w:t>
      </w:r>
      <w:r w:rsidR="004D47E7" w:rsidRPr="0065125A">
        <w:rPr>
          <w:rFonts w:cstheme="minorHAnsi"/>
        </w:rPr>
        <w:t>Russia Today Decision</w:t>
      </w:r>
      <w:r w:rsidR="007A69CF" w:rsidRPr="0065125A">
        <w:rPr>
          <w:rFonts w:cstheme="minorHAnsi"/>
        </w:rPr>
        <w:t>]</w:t>
      </w:r>
      <w:r w:rsidR="00CF5C49" w:rsidRPr="0065125A">
        <w:rPr>
          <w:rFonts w:cstheme="minorHAnsi"/>
        </w:rPr>
        <w:t>.</w:t>
      </w:r>
    </w:p>
  </w:footnote>
  <w:footnote w:id="10">
    <w:p w14:paraId="25844CF1" w14:textId="55BEFCF3" w:rsidR="006C51D6" w:rsidRPr="0065125A" w:rsidRDefault="006C51D6">
      <w:pPr>
        <w:pStyle w:val="FootnoteText"/>
        <w:rPr>
          <w:rFonts w:cstheme="minorHAnsi"/>
        </w:rPr>
      </w:pPr>
      <w:r w:rsidRPr="0065125A">
        <w:rPr>
          <w:rStyle w:val="FootnoteReference"/>
          <w:rFonts w:cstheme="minorHAnsi"/>
        </w:rPr>
        <w:footnoteRef/>
      </w:r>
      <w:r w:rsidRPr="0065125A">
        <w:rPr>
          <w:rFonts w:cstheme="minorHAnsi"/>
        </w:rPr>
        <w:t xml:space="preserve"> </w:t>
      </w:r>
      <w:r w:rsidR="003D4E17" w:rsidRPr="0065125A">
        <w:rPr>
          <w:rFonts w:cstheme="minorHAnsi"/>
        </w:rPr>
        <w:t xml:space="preserve">James Kirchick, “RT wants to spread Moscow’s propaganda here. Let’s treat it that way”, </w:t>
      </w:r>
      <w:r w:rsidR="003D4E17" w:rsidRPr="0065125A">
        <w:rPr>
          <w:rFonts w:cstheme="minorHAnsi"/>
          <w:i/>
          <w:iCs/>
        </w:rPr>
        <w:t xml:space="preserve">The Washington Post </w:t>
      </w:r>
      <w:r w:rsidR="003D4E17" w:rsidRPr="0065125A">
        <w:rPr>
          <w:rFonts w:cstheme="minorHAnsi"/>
        </w:rPr>
        <w:t>(20 September 2017)</w:t>
      </w:r>
      <w:r w:rsidR="003D4E17" w:rsidRPr="0065125A">
        <w:rPr>
          <w:rFonts w:cstheme="minorHAnsi"/>
          <w:i/>
          <w:iCs/>
        </w:rPr>
        <w:t xml:space="preserve">, </w:t>
      </w:r>
      <w:r w:rsidR="003D4E17" w:rsidRPr="0065125A">
        <w:rPr>
          <w:rFonts w:cstheme="minorHAnsi"/>
        </w:rPr>
        <w:t>online: &lt;</w:t>
      </w:r>
      <w:hyperlink r:id="rId7" w:history="1">
        <w:r w:rsidR="003D4E17" w:rsidRPr="0065125A">
          <w:rPr>
            <w:rStyle w:val="Hyperlink"/>
            <w:rFonts w:cstheme="minorHAnsi"/>
          </w:rPr>
          <w:t>www.washingtonpost.com/news/posteverything/wp/2017/09/20/rt-wants-to-spread-moscows-propaganda-here-lets-treat-it-that-way/</w:t>
        </w:r>
      </w:hyperlink>
      <w:r w:rsidR="003D4E17" w:rsidRPr="0065125A">
        <w:rPr>
          <w:rFonts w:cstheme="minorHAnsi"/>
        </w:rPr>
        <w:t>&gt;.</w:t>
      </w:r>
    </w:p>
  </w:footnote>
  <w:footnote w:id="11">
    <w:p w14:paraId="718955AC" w14:textId="6C2F44D3" w:rsidR="00E40275" w:rsidRPr="0065125A" w:rsidRDefault="00E40275">
      <w:pPr>
        <w:pStyle w:val="FootnoteText"/>
        <w:rPr>
          <w:rFonts w:cstheme="minorHAnsi"/>
        </w:rPr>
      </w:pPr>
      <w:r w:rsidRPr="0065125A">
        <w:rPr>
          <w:rStyle w:val="FootnoteReference"/>
          <w:rFonts w:cstheme="minorHAnsi"/>
        </w:rPr>
        <w:footnoteRef/>
      </w:r>
      <w:r w:rsidRPr="0065125A">
        <w:rPr>
          <w:rFonts w:cstheme="minorHAnsi"/>
        </w:rPr>
        <w:t xml:space="preserve"> </w:t>
      </w:r>
      <w:r w:rsidR="002F2DB2" w:rsidRPr="0065125A">
        <w:rPr>
          <w:rFonts w:cstheme="minorHAnsi"/>
          <w:i/>
          <w:iCs/>
        </w:rPr>
        <w:t>Ibid</w:t>
      </w:r>
      <w:r w:rsidR="004D47E7" w:rsidRPr="0065125A">
        <w:rPr>
          <w:rFonts w:cstheme="minorHAnsi"/>
        </w:rPr>
        <w:t xml:space="preserve"> at p</w:t>
      </w:r>
      <w:r w:rsidRPr="0065125A">
        <w:rPr>
          <w:rFonts w:cstheme="minorHAnsi"/>
        </w:rPr>
        <w:t>ara 30</w:t>
      </w:r>
      <w:r w:rsidR="00A00BEE" w:rsidRPr="0065125A">
        <w:rPr>
          <w:rFonts w:cstheme="minorHAnsi"/>
        </w:rPr>
        <w:t>.</w:t>
      </w:r>
    </w:p>
  </w:footnote>
  <w:footnote w:id="12">
    <w:p w14:paraId="5CA5E9DC" w14:textId="48CF13AF" w:rsidR="0021291B" w:rsidRPr="0065125A" w:rsidRDefault="0021291B">
      <w:pPr>
        <w:pStyle w:val="FootnoteText"/>
        <w:rPr>
          <w:rFonts w:cstheme="minorHAnsi"/>
        </w:rPr>
      </w:pPr>
      <w:r w:rsidRPr="0065125A">
        <w:rPr>
          <w:rStyle w:val="FootnoteReference"/>
          <w:rFonts w:cstheme="minorHAnsi"/>
        </w:rPr>
        <w:footnoteRef/>
      </w:r>
      <w:r w:rsidRPr="0065125A">
        <w:rPr>
          <w:rFonts w:cstheme="minorHAnsi"/>
        </w:rPr>
        <w:t xml:space="preserve"> </w:t>
      </w:r>
      <w:r w:rsidR="00A00BEE" w:rsidRPr="0065125A">
        <w:rPr>
          <w:rFonts w:cstheme="minorHAnsi"/>
          <w:i/>
          <w:iCs/>
        </w:rPr>
        <w:t>Ibid</w:t>
      </w:r>
      <w:r w:rsidR="00A00BEE" w:rsidRPr="0065125A">
        <w:rPr>
          <w:rFonts w:cstheme="minorHAnsi"/>
        </w:rPr>
        <w:t xml:space="preserve"> at p</w:t>
      </w:r>
      <w:r w:rsidRPr="0065125A">
        <w:rPr>
          <w:rFonts w:cstheme="minorHAnsi"/>
        </w:rPr>
        <w:t>ara 26.</w:t>
      </w:r>
    </w:p>
  </w:footnote>
  <w:footnote w:id="13">
    <w:p w14:paraId="1527B678" w14:textId="683FCA7E" w:rsidR="00C25D3E" w:rsidRPr="0065125A" w:rsidRDefault="00C25D3E">
      <w:pPr>
        <w:pStyle w:val="FootnoteText"/>
        <w:rPr>
          <w:rFonts w:cstheme="minorHAnsi"/>
        </w:rPr>
      </w:pPr>
      <w:r w:rsidRPr="0065125A">
        <w:rPr>
          <w:rStyle w:val="FootnoteReference"/>
          <w:rFonts w:cstheme="minorHAnsi"/>
        </w:rPr>
        <w:footnoteRef/>
      </w:r>
      <w:r w:rsidRPr="0065125A">
        <w:rPr>
          <w:rFonts w:cstheme="minorHAnsi"/>
        </w:rPr>
        <w:t xml:space="preserve"> </w:t>
      </w:r>
      <w:r w:rsidR="00F736EE" w:rsidRPr="0065125A">
        <w:rPr>
          <w:rFonts w:cstheme="minorHAnsi"/>
        </w:rPr>
        <w:t xml:space="preserve">European Council, </w:t>
      </w:r>
      <w:r w:rsidR="00183168" w:rsidRPr="0065125A">
        <w:rPr>
          <w:rFonts w:cstheme="minorHAnsi"/>
        </w:rPr>
        <w:t>Press Release, “EU imposes sanctions on state-owned outlets RT/Russia Today and Sputnik’s broadcasting in the EU”</w:t>
      </w:r>
      <w:r w:rsidR="00273893" w:rsidRPr="0065125A">
        <w:rPr>
          <w:rFonts w:cstheme="minorHAnsi"/>
        </w:rPr>
        <w:t xml:space="preserve"> (2 March 2022), online:</w:t>
      </w:r>
      <w:r w:rsidR="00183168" w:rsidRPr="0065125A">
        <w:rPr>
          <w:rFonts w:cstheme="minorHAnsi"/>
        </w:rPr>
        <w:t xml:space="preserve"> </w:t>
      </w:r>
      <w:r w:rsidR="00273893" w:rsidRPr="0065125A">
        <w:rPr>
          <w:rFonts w:cstheme="minorHAnsi"/>
        </w:rPr>
        <w:t>&lt;</w:t>
      </w:r>
      <w:hyperlink r:id="rId8" w:history="1">
        <w:r w:rsidR="00273893" w:rsidRPr="0065125A">
          <w:rPr>
            <w:rStyle w:val="Hyperlink"/>
            <w:rFonts w:cstheme="minorHAnsi"/>
          </w:rPr>
          <w:t>https://www.consilium.europa.eu/en/press/press-releases/2022/03/02/eu-imposes-sanctions-on-state-owned-outlets-rt-russia-today-and-sputnik-s-broadcasting-in-the-eu/</w:t>
        </w:r>
      </w:hyperlink>
      <w:r w:rsidR="00273893" w:rsidRPr="0065125A">
        <w:rPr>
          <w:rFonts w:cstheme="minorHAnsi"/>
        </w:rPr>
        <w:t>&gt;.</w:t>
      </w:r>
    </w:p>
  </w:footnote>
  <w:footnote w:id="14">
    <w:p w14:paraId="1DB7A338" w14:textId="552D1B24" w:rsidR="00E85DEC" w:rsidRPr="0065125A" w:rsidRDefault="00E85DEC">
      <w:pPr>
        <w:pStyle w:val="FootnoteText"/>
        <w:rPr>
          <w:rFonts w:cstheme="minorHAnsi"/>
        </w:rPr>
      </w:pPr>
      <w:r w:rsidRPr="0065125A">
        <w:rPr>
          <w:rStyle w:val="FootnoteReference"/>
          <w:rFonts w:cstheme="minorHAnsi"/>
        </w:rPr>
        <w:footnoteRef/>
      </w:r>
      <w:r w:rsidRPr="0065125A">
        <w:rPr>
          <w:rFonts w:cstheme="minorHAnsi"/>
        </w:rPr>
        <w:t xml:space="preserve"> </w:t>
      </w:r>
      <w:r w:rsidR="009377F6" w:rsidRPr="0065125A">
        <w:rPr>
          <w:rFonts w:cstheme="minorHAnsi"/>
        </w:rPr>
        <w:t xml:space="preserve">Frank </w:t>
      </w:r>
      <w:proofErr w:type="spellStart"/>
      <w:r w:rsidR="009377F6" w:rsidRPr="0065125A">
        <w:rPr>
          <w:rFonts w:cstheme="minorHAnsi"/>
        </w:rPr>
        <w:t>Furedi</w:t>
      </w:r>
      <w:proofErr w:type="spellEnd"/>
      <w:r w:rsidR="009377F6" w:rsidRPr="0065125A">
        <w:rPr>
          <w:rFonts w:cstheme="minorHAnsi"/>
        </w:rPr>
        <w:t>, “The sinister legacy of January 6”,</w:t>
      </w:r>
      <w:r w:rsidR="00504AB2" w:rsidRPr="0065125A">
        <w:rPr>
          <w:rFonts w:cstheme="minorHAnsi"/>
        </w:rPr>
        <w:t xml:space="preserve"> </w:t>
      </w:r>
      <w:r w:rsidR="00504AB2" w:rsidRPr="0065125A">
        <w:rPr>
          <w:rFonts w:cstheme="minorHAnsi"/>
          <w:i/>
          <w:iCs/>
        </w:rPr>
        <w:t xml:space="preserve">Russia Today </w:t>
      </w:r>
      <w:r w:rsidR="00504AB2" w:rsidRPr="0065125A">
        <w:rPr>
          <w:rFonts w:cstheme="minorHAnsi"/>
        </w:rPr>
        <w:t>(5 January 2022), online: &lt;</w:t>
      </w:r>
      <w:hyperlink r:id="rId9" w:history="1">
        <w:r w:rsidR="00504AB2" w:rsidRPr="0065125A">
          <w:rPr>
            <w:rStyle w:val="Hyperlink"/>
            <w:rFonts w:cstheme="minorHAnsi"/>
          </w:rPr>
          <w:t>www.rt.com/op-ed/545161-capitol-legacy-culture-fear/</w:t>
        </w:r>
      </w:hyperlink>
      <w:r w:rsidR="00504AB2" w:rsidRPr="0065125A">
        <w:rPr>
          <w:rFonts w:cstheme="minorHAnsi"/>
        </w:rPr>
        <w:t>&gt;.</w:t>
      </w:r>
    </w:p>
  </w:footnote>
  <w:footnote w:id="15">
    <w:p w14:paraId="0CC7A3A7" w14:textId="529F45D0" w:rsidR="004938D9" w:rsidRPr="0065125A" w:rsidRDefault="004938D9">
      <w:pPr>
        <w:pStyle w:val="FootnoteText"/>
        <w:rPr>
          <w:rFonts w:cstheme="minorHAnsi"/>
        </w:rPr>
      </w:pPr>
      <w:r w:rsidRPr="0065125A">
        <w:rPr>
          <w:rStyle w:val="FootnoteReference"/>
          <w:rFonts w:cstheme="minorHAnsi"/>
        </w:rPr>
        <w:footnoteRef/>
      </w:r>
      <w:r w:rsidRPr="0065125A">
        <w:rPr>
          <w:rFonts w:cstheme="minorHAnsi"/>
        </w:rPr>
        <w:t xml:space="preserve"> </w:t>
      </w:r>
      <w:r w:rsidR="00F650FF" w:rsidRPr="0065125A">
        <w:rPr>
          <w:rFonts w:cstheme="minorHAnsi"/>
          <w:i/>
          <w:iCs/>
        </w:rPr>
        <w:t>Reference Re</w:t>
      </w:r>
      <w:r w:rsidR="0049492A" w:rsidRPr="0065125A">
        <w:rPr>
          <w:rFonts w:cstheme="minorHAnsi"/>
          <w:i/>
          <w:iCs/>
        </w:rPr>
        <w:t xml:space="preserve"> Broa</w:t>
      </w:r>
      <w:r w:rsidR="00ED208B" w:rsidRPr="0065125A">
        <w:rPr>
          <w:rFonts w:cstheme="minorHAnsi"/>
          <w:i/>
          <w:iCs/>
        </w:rPr>
        <w:t>d</w:t>
      </w:r>
      <w:r w:rsidR="0049492A" w:rsidRPr="0065125A">
        <w:rPr>
          <w:rFonts w:cstheme="minorHAnsi"/>
          <w:i/>
          <w:iCs/>
        </w:rPr>
        <w:t>casting Regulatory Policy CRTC 2010-167 and</w:t>
      </w:r>
      <w:r w:rsidR="00ED208B" w:rsidRPr="0065125A">
        <w:rPr>
          <w:rFonts w:cstheme="minorHAnsi"/>
          <w:i/>
          <w:iCs/>
        </w:rPr>
        <w:t xml:space="preserve"> </w:t>
      </w:r>
      <w:r w:rsidR="0049492A" w:rsidRPr="0065125A">
        <w:rPr>
          <w:rFonts w:cstheme="minorHAnsi"/>
          <w:i/>
          <w:iCs/>
        </w:rPr>
        <w:t>Broadcasting Order CRTC 2010-168</w:t>
      </w:r>
      <w:r w:rsidR="00CC13BF" w:rsidRPr="0065125A">
        <w:rPr>
          <w:rFonts w:cstheme="minorHAnsi"/>
          <w:i/>
          <w:iCs/>
        </w:rPr>
        <w:t xml:space="preserve">, </w:t>
      </w:r>
      <w:r w:rsidR="00CC13BF" w:rsidRPr="0065125A">
        <w:rPr>
          <w:rFonts w:cstheme="minorHAnsi"/>
        </w:rPr>
        <w:t xml:space="preserve">[2012] 3 SCR 489 at </w:t>
      </w:r>
      <w:r w:rsidRPr="0065125A">
        <w:rPr>
          <w:rFonts w:cstheme="minorHAnsi"/>
        </w:rPr>
        <w:t>para 2.</w:t>
      </w:r>
    </w:p>
  </w:footnote>
  <w:footnote w:id="16">
    <w:p w14:paraId="03F82193" w14:textId="48C1EE77" w:rsidR="003C37F9" w:rsidRPr="0065125A" w:rsidRDefault="003C37F9">
      <w:pPr>
        <w:pStyle w:val="FootnoteText"/>
        <w:rPr>
          <w:rFonts w:cstheme="minorHAnsi"/>
        </w:rPr>
      </w:pPr>
      <w:r w:rsidRPr="0065125A">
        <w:rPr>
          <w:rStyle w:val="FootnoteReference"/>
          <w:rFonts w:cstheme="minorHAnsi"/>
        </w:rPr>
        <w:footnoteRef/>
      </w:r>
      <w:r w:rsidRPr="0065125A">
        <w:rPr>
          <w:rFonts w:cstheme="minorHAnsi"/>
        </w:rPr>
        <w:t xml:space="preserve"> </w:t>
      </w:r>
      <w:r w:rsidR="00ED208B" w:rsidRPr="0065125A">
        <w:rPr>
          <w:rFonts w:cstheme="minorHAnsi"/>
          <w:i/>
          <w:iCs/>
        </w:rPr>
        <w:t xml:space="preserve">Ibid </w:t>
      </w:r>
      <w:r w:rsidR="00ED208B" w:rsidRPr="0065125A">
        <w:rPr>
          <w:rFonts w:cstheme="minorHAnsi"/>
        </w:rPr>
        <w:t>at</w:t>
      </w:r>
      <w:r w:rsidR="00736E31" w:rsidRPr="0065125A">
        <w:rPr>
          <w:rFonts w:cstheme="minorHAnsi"/>
        </w:rPr>
        <w:t xml:space="preserve"> paras 26 - 33</w:t>
      </w:r>
    </w:p>
  </w:footnote>
  <w:footnote w:id="17">
    <w:p w14:paraId="1F1E7FA8" w14:textId="66AD2682" w:rsidR="00820C87" w:rsidRPr="0065125A" w:rsidRDefault="00820C87" w:rsidP="00820C87">
      <w:pPr>
        <w:pStyle w:val="FootnoteText"/>
        <w:rPr>
          <w:rFonts w:cstheme="minorHAnsi"/>
        </w:rPr>
      </w:pPr>
      <w:r w:rsidRPr="0065125A">
        <w:rPr>
          <w:rStyle w:val="FootnoteReference"/>
          <w:rFonts w:cstheme="minorHAnsi"/>
        </w:rPr>
        <w:footnoteRef/>
      </w:r>
      <w:r w:rsidRPr="0065125A">
        <w:rPr>
          <w:rFonts w:cstheme="minorHAnsi"/>
        </w:rPr>
        <w:t xml:space="preserve"> </w:t>
      </w:r>
      <w:r w:rsidRPr="0065125A">
        <w:rPr>
          <w:rFonts w:cstheme="minorHAnsi"/>
          <w:i/>
          <w:iCs/>
        </w:rPr>
        <w:t>Ibid</w:t>
      </w:r>
      <w:r w:rsidRPr="0065125A">
        <w:rPr>
          <w:rFonts w:cstheme="minorHAnsi"/>
        </w:rPr>
        <w:t xml:space="preserve">. </w:t>
      </w:r>
    </w:p>
  </w:footnote>
  <w:footnote w:id="18">
    <w:p w14:paraId="170386E3" w14:textId="34599C27" w:rsidR="0061031B" w:rsidRPr="0065125A" w:rsidRDefault="0061031B">
      <w:pPr>
        <w:pStyle w:val="FootnoteText"/>
        <w:rPr>
          <w:rFonts w:cstheme="minorHAnsi"/>
        </w:rPr>
      </w:pPr>
      <w:r w:rsidRPr="0065125A">
        <w:rPr>
          <w:rStyle w:val="FootnoteReference"/>
          <w:rFonts w:cstheme="minorHAnsi"/>
        </w:rPr>
        <w:footnoteRef/>
      </w:r>
      <w:r w:rsidRPr="0065125A">
        <w:rPr>
          <w:rFonts w:cstheme="minorHAnsi"/>
        </w:rPr>
        <w:t xml:space="preserve"> </w:t>
      </w:r>
      <w:r w:rsidRPr="0065125A">
        <w:rPr>
          <w:rFonts w:cstheme="minorHAnsi"/>
          <w:i/>
          <w:iCs/>
        </w:rPr>
        <w:t>Broadcasting Regulatory Policy</w:t>
      </w:r>
      <w:r w:rsidR="00CF22B9" w:rsidRPr="0065125A">
        <w:rPr>
          <w:rFonts w:cstheme="minorHAnsi"/>
          <w:i/>
          <w:iCs/>
        </w:rPr>
        <w:t xml:space="preserve"> </w:t>
      </w:r>
      <w:r w:rsidR="00CF22B9" w:rsidRPr="0065125A">
        <w:rPr>
          <w:rFonts w:cstheme="minorHAnsi"/>
        </w:rPr>
        <w:t>(30 June 2011),</w:t>
      </w:r>
      <w:r w:rsidRPr="0065125A">
        <w:rPr>
          <w:rFonts w:cstheme="minorHAnsi"/>
        </w:rPr>
        <w:t xml:space="preserve"> CRTC 2011-399</w:t>
      </w:r>
      <w:r w:rsidR="0092123F" w:rsidRPr="0065125A">
        <w:rPr>
          <w:rFonts w:cstheme="minorHAnsi"/>
        </w:rPr>
        <w:t>.</w:t>
      </w:r>
    </w:p>
  </w:footnote>
  <w:footnote w:id="19">
    <w:p w14:paraId="7D2B2888" w14:textId="589D477C" w:rsidR="0028768A" w:rsidRPr="0065125A" w:rsidRDefault="0028768A">
      <w:pPr>
        <w:pStyle w:val="FootnoteText"/>
        <w:rPr>
          <w:rFonts w:cstheme="minorHAnsi"/>
        </w:rPr>
      </w:pPr>
      <w:r w:rsidRPr="0065125A">
        <w:rPr>
          <w:rStyle w:val="FootnoteReference"/>
          <w:rFonts w:cstheme="minorHAnsi"/>
        </w:rPr>
        <w:footnoteRef/>
      </w:r>
      <w:r w:rsidRPr="0065125A">
        <w:rPr>
          <w:rFonts w:cstheme="minorHAnsi"/>
        </w:rPr>
        <w:t xml:space="preserve"> </w:t>
      </w:r>
      <w:r w:rsidR="00D671E8" w:rsidRPr="0065125A">
        <w:rPr>
          <w:rFonts w:cstheme="minorHAnsi"/>
          <w:i/>
          <w:iCs/>
        </w:rPr>
        <w:t>Broadcasting Act</w:t>
      </w:r>
      <w:r w:rsidR="006935AB" w:rsidRPr="0065125A">
        <w:rPr>
          <w:rFonts w:cstheme="minorHAnsi"/>
          <w:i/>
          <w:iCs/>
        </w:rPr>
        <w:t xml:space="preserve">, </w:t>
      </w:r>
      <w:r w:rsidR="00D671E8" w:rsidRPr="0065125A">
        <w:rPr>
          <w:rFonts w:cstheme="minorHAnsi"/>
        </w:rPr>
        <w:t>s</w:t>
      </w:r>
      <w:r w:rsidRPr="0065125A">
        <w:rPr>
          <w:rFonts w:cstheme="minorHAnsi"/>
        </w:rPr>
        <w:t xml:space="preserve"> 10</w:t>
      </w:r>
      <w:r w:rsidR="00E201F9" w:rsidRPr="0065125A">
        <w:rPr>
          <w:rFonts w:cstheme="minorHAnsi"/>
        </w:rPr>
        <w:t>(1)(g)</w:t>
      </w:r>
      <w:r w:rsidR="00940DEE" w:rsidRPr="0065125A">
        <w:rPr>
          <w:rFonts w:cstheme="minorHAnsi"/>
        </w:rPr>
        <w:t>;</w:t>
      </w:r>
      <w:r w:rsidRPr="0065125A">
        <w:rPr>
          <w:rFonts w:cstheme="minorHAnsi"/>
        </w:rPr>
        <w:t xml:space="preserve"> </w:t>
      </w:r>
      <w:r w:rsidR="00940DEE" w:rsidRPr="0065125A">
        <w:rPr>
          <w:rFonts w:cstheme="minorHAnsi"/>
          <w:i/>
          <w:iCs/>
        </w:rPr>
        <w:t>CRTC Russia Today Decision</w:t>
      </w:r>
      <w:r w:rsidR="00940DEE" w:rsidRPr="0065125A">
        <w:rPr>
          <w:rFonts w:cstheme="minorHAnsi"/>
        </w:rPr>
        <w:t xml:space="preserve"> at </w:t>
      </w:r>
      <w:r w:rsidRPr="0065125A">
        <w:rPr>
          <w:rFonts w:cstheme="minorHAnsi"/>
        </w:rPr>
        <w:t>para 8</w:t>
      </w:r>
      <w:r w:rsidR="00FA5B11" w:rsidRPr="0065125A">
        <w:rPr>
          <w:rFonts w:cstheme="minorHAnsi"/>
        </w:rPr>
        <w:t>.</w:t>
      </w:r>
    </w:p>
  </w:footnote>
  <w:footnote w:id="20">
    <w:p w14:paraId="6A008F95" w14:textId="1710B153" w:rsidR="002C50C5" w:rsidRPr="0065125A" w:rsidRDefault="002C50C5">
      <w:pPr>
        <w:pStyle w:val="FootnoteText"/>
        <w:rPr>
          <w:rFonts w:cstheme="minorHAnsi"/>
        </w:rPr>
      </w:pPr>
      <w:r w:rsidRPr="0065125A">
        <w:rPr>
          <w:rStyle w:val="FootnoteReference"/>
          <w:rFonts w:cstheme="minorHAnsi"/>
        </w:rPr>
        <w:footnoteRef/>
      </w:r>
      <w:r w:rsidRPr="0065125A">
        <w:rPr>
          <w:rFonts w:cstheme="minorHAnsi"/>
        </w:rPr>
        <w:t xml:space="preserve"> </w:t>
      </w:r>
      <w:r w:rsidR="002B2667" w:rsidRPr="0065125A">
        <w:rPr>
          <w:rFonts w:cstheme="minorHAnsi"/>
          <w:i/>
          <w:iCs/>
        </w:rPr>
        <w:t xml:space="preserve">Broadcasting Public Notice </w:t>
      </w:r>
      <w:r w:rsidR="002B2667" w:rsidRPr="0065125A">
        <w:rPr>
          <w:rFonts w:cstheme="minorHAnsi"/>
        </w:rPr>
        <w:t>(30 October 2008), CRTC 2008-100, online: &lt;</w:t>
      </w:r>
      <w:hyperlink r:id="rId10" w:anchor="h25" w:history="1">
        <w:r w:rsidR="002B2667" w:rsidRPr="0065125A">
          <w:rPr>
            <w:rStyle w:val="Hyperlink"/>
            <w:rFonts w:cstheme="minorHAnsi"/>
          </w:rPr>
          <w:t>crtc.gc.ca/</w:t>
        </w:r>
        <w:proofErr w:type="spellStart"/>
        <w:r w:rsidR="002B2667" w:rsidRPr="0065125A">
          <w:rPr>
            <w:rStyle w:val="Hyperlink"/>
            <w:rFonts w:cstheme="minorHAnsi"/>
          </w:rPr>
          <w:t>eng</w:t>
        </w:r>
        <w:proofErr w:type="spellEnd"/>
        <w:r w:rsidR="002B2667" w:rsidRPr="0065125A">
          <w:rPr>
            <w:rStyle w:val="Hyperlink"/>
            <w:rFonts w:cstheme="minorHAnsi"/>
          </w:rPr>
          <w:t>/archive/2008/pb2008-100.htm#h25</w:t>
        </w:r>
      </w:hyperlink>
      <w:r w:rsidR="002B2667" w:rsidRPr="0065125A">
        <w:rPr>
          <w:rFonts w:cstheme="minorHAnsi"/>
        </w:rPr>
        <w:t>&gt; at</w:t>
      </w:r>
      <w:r w:rsidRPr="0065125A">
        <w:rPr>
          <w:rFonts w:cstheme="minorHAnsi"/>
        </w:rPr>
        <w:t xml:space="preserve"> para 245</w:t>
      </w:r>
      <w:r w:rsidR="00187E69" w:rsidRPr="0065125A">
        <w:rPr>
          <w:rFonts w:cstheme="minorHAnsi"/>
        </w:rPr>
        <w:t xml:space="preserve"> [</w:t>
      </w:r>
      <w:r w:rsidR="00187E69" w:rsidRPr="0065125A">
        <w:rPr>
          <w:rFonts w:cstheme="minorHAnsi"/>
          <w:i/>
          <w:iCs/>
        </w:rPr>
        <w:t xml:space="preserve">Broadcasting Public Notice </w:t>
      </w:r>
      <w:r w:rsidR="00187E69" w:rsidRPr="0065125A">
        <w:rPr>
          <w:rFonts w:cstheme="minorHAnsi"/>
        </w:rPr>
        <w:t>(30 October 2008)]</w:t>
      </w:r>
      <w:r w:rsidRPr="0065125A">
        <w:rPr>
          <w:rFonts w:cstheme="minorHAnsi"/>
        </w:rPr>
        <w:t>.</w:t>
      </w:r>
    </w:p>
  </w:footnote>
  <w:footnote w:id="21">
    <w:p w14:paraId="44AED5C0" w14:textId="6C9C0AED" w:rsidR="00B865F5" w:rsidRPr="0065125A" w:rsidRDefault="00B865F5">
      <w:pPr>
        <w:pStyle w:val="FootnoteText"/>
        <w:rPr>
          <w:rFonts w:cstheme="minorHAnsi"/>
        </w:rPr>
      </w:pPr>
      <w:r w:rsidRPr="0065125A">
        <w:rPr>
          <w:rStyle w:val="FootnoteReference"/>
          <w:rFonts w:cstheme="minorHAnsi"/>
        </w:rPr>
        <w:footnoteRef/>
      </w:r>
      <w:r w:rsidRPr="0065125A">
        <w:rPr>
          <w:rFonts w:cstheme="minorHAnsi"/>
        </w:rPr>
        <w:t xml:space="preserve"> </w:t>
      </w:r>
      <w:r w:rsidR="002A4914" w:rsidRPr="0065125A">
        <w:rPr>
          <w:rFonts w:cstheme="minorHAnsi"/>
        </w:rPr>
        <w:t>I</w:t>
      </w:r>
      <w:r w:rsidR="002A4914" w:rsidRPr="0065125A">
        <w:rPr>
          <w:rFonts w:cstheme="minorHAnsi"/>
          <w:i/>
          <w:iCs/>
        </w:rPr>
        <w:t>bid</w:t>
      </w:r>
      <w:r w:rsidR="002A4914" w:rsidRPr="0065125A">
        <w:rPr>
          <w:rFonts w:cstheme="minorHAnsi"/>
        </w:rPr>
        <w:t xml:space="preserve"> at p</w:t>
      </w:r>
      <w:r w:rsidRPr="0065125A">
        <w:rPr>
          <w:rFonts w:cstheme="minorHAnsi"/>
        </w:rPr>
        <w:t>ara 246</w:t>
      </w:r>
    </w:p>
  </w:footnote>
  <w:footnote w:id="22">
    <w:p w14:paraId="14263CE6" w14:textId="496C3E42" w:rsidR="00E35037" w:rsidRPr="0065125A" w:rsidRDefault="00E35037">
      <w:pPr>
        <w:pStyle w:val="FootnoteText"/>
        <w:rPr>
          <w:rFonts w:cstheme="minorHAnsi"/>
        </w:rPr>
      </w:pPr>
      <w:r w:rsidRPr="0065125A">
        <w:rPr>
          <w:rStyle w:val="FootnoteReference"/>
          <w:rFonts w:cstheme="minorHAnsi"/>
        </w:rPr>
        <w:footnoteRef/>
      </w:r>
      <w:r w:rsidRPr="0065125A">
        <w:rPr>
          <w:rFonts w:cstheme="minorHAnsi"/>
        </w:rPr>
        <w:t xml:space="preserve"> </w:t>
      </w:r>
      <w:r w:rsidR="008D0309" w:rsidRPr="0065125A">
        <w:rPr>
          <w:rFonts w:cstheme="minorHAnsi"/>
          <w:i/>
          <w:iCs/>
        </w:rPr>
        <w:t>Television Broadcasting Regulations</w:t>
      </w:r>
      <w:r w:rsidR="004F273E" w:rsidRPr="0065125A">
        <w:rPr>
          <w:rFonts w:cstheme="minorHAnsi"/>
          <w:i/>
          <w:iCs/>
        </w:rPr>
        <w:t xml:space="preserve">, </w:t>
      </w:r>
      <w:r w:rsidR="00392580" w:rsidRPr="0065125A">
        <w:rPr>
          <w:rFonts w:cstheme="minorHAnsi"/>
        </w:rPr>
        <w:t>SOR/87-49</w:t>
      </w:r>
      <w:r w:rsidR="006935AB" w:rsidRPr="0065125A">
        <w:rPr>
          <w:rFonts w:cstheme="minorHAnsi"/>
        </w:rPr>
        <w:t xml:space="preserve">, s </w:t>
      </w:r>
      <w:r w:rsidR="00627469" w:rsidRPr="0065125A">
        <w:rPr>
          <w:rFonts w:cstheme="minorHAnsi"/>
        </w:rPr>
        <w:t>5(1)(b).</w:t>
      </w:r>
    </w:p>
  </w:footnote>
  <w:footnote w:id="23">
    <w:p w14:paraId="0228A6F0" w14:textId="40D9E4D2" w:rsidR="000727A0" w:rsidRPr="0065125A" w:rsidRDefault="000727A0">
      <w:pPr>
        <w:pStyle w:val="FootnoteText"/>
        <w:rPr>
          <w:rFonts w:cstheme="minorHAnsi"/>
        </w:rPr>
      </w:pPr>
      <w:r w:rsidRPr="0065125A">
        <w:rPr>
          <w:rStyle w:val="FootnoteReference"/>
          <w:rFonts w:cstheme="minorHAnsi"/>
        </w:rPr>
        <w:footnoteRef/>
      </w:r>
      <w:r w:rsidRPr="0065125A">
        <w:rPr>
          <w:rFonts w:cstheme="minorHAnsi"/>
        </w:rPr>
        <w:t xml:space="preserve"> </w:t>
      </w:r>
      <w:r w:rsidR="00187E69" w:rsidRPr="0065125A">
        <w:rPr>
          <w:rFonts w:cstheme="minorHAnsi"/>
          <w:i/>
          <w:iCs/>
        </w:rPr>
        <w:t xml:space="preserve">Broadcasting Public Notice </w:t>
      </w:r>
      <w:r w:rsidR="00187E69" w:rsidRPr="0065125A">
        <w:rPr>
          <w:rFonts w:cstheme="minorHAnsi"/>
        </w:rPr>
        <w:t xml:space="preserve">(30 October 2008) </w:t>
      </w:r>
      <w:r w:rsidR="00A17B1C" w:rsidRPr="0065125A">
        <w:rPr>
          <w:rFonts w:cstheme="minorHAnsi"/>
        </w:rPr>
        <w:t>at para 246</w:t>
      </w:r>
      <w:r w:rsidR="00187E69" w:rsidRPr="0065125A">
        <w:rPr>
          <w:rFonts w:cstheme="minorHAnsi"/>
        </w:rPr>
        <w:t>.</w:t>
      </w:r>
    </w:p>
  </w:footnote>
  <w:footnote w:id="24">
    <w:p w14:paraId="0C65824E" w14:textId="5650EC0E" w:rsidR="00A35765" w:rsidRPr="0065125A" w:rsidRDefault="00A35765">
      <w:pPr>
        <w:pStyle w:val="FootnoteText"/>
        <w:rPr>
          <w:rFonts w:cstheme="minorHAnsi"/>
        </w:rPr>
      </w:pPr>
      <w:r w:rsidRPr="0065125A">
        <w:rPr>
          <w:rStyle w:val="FootnoteReference"/>
          <w:rFonts w:cstheme="minorHAnsi"/>
        </w:rPr>
        <w:footnoteRef/>
      </w:r>
      <w:r w:rsidRPr="0065125A">
        <w:rPr>
          <w:rFonts w:cstheme="minorHAnsi"/>
        </w:rPr>
        <w:t xml:space="preserve"> </w:t>
      </w:r>
      <w:r w:rsidR="007D1A9D" w:rsidRPr="0065125A">
        <w:rPr>
          <w:rFonts w:cstheme="minorHAnsi"/>
          <w:i/>
          <w:iCs/>
        </w:rPr>
        <w:t>CRTC Russia Today Decision</w:t>
      </w:r>
      <w:r w:rsidR="007D1A9D" w:rsidRPr="0065125A">
        <w:rPr>
          <w:rFonts w:cstheme="minorHAnsi"/>
        </w:rPr>
        <w:t xml:space="preserve"> at </w:t>
      </w:r>
      <w:r w:rsidRPr="0065125A">
        <w:rPr>
          <w:rFonts w:cstheme="minorHAnsi"/>
        </w:rPr>
        <w:t>para 42</w:t>
      </w:r>
      <w:r w:rsidR="00262BFC" w:rsidRPr="0065125A">
        <w:rPr>
          <w:rFonts w:cstheme="minorHAnsi"/>
        </w:rPr>
        <w:t>.</w:t>
      </w:r>
    </w:p>
  </w:footnote>
  <w:footnote w:id="25">
    <w:p w14:paraId="18AB849F" w14:textId="76D30C73" w:rsidR="00454FEE" w:rsidRPr="0065125A" w:rsidRDefault="00454FEE">
      <w:pPr>
        <w:pStyle w:val="FootnoteText"/>
        <w:rPr>
          <w:rFonts w:cstheme="minorHAnsi"/>
        </w:rPr>
      </w:pPr>
      <w:r w:rsidRPr="0065125A">
        <w:rPr>
          <w:rStyle w:val="FootnoteReference"/>
          <w:rFonts w:cstheme="minorHAnsi"/>
        </w:rPr>
        <w:footnoteRef/>
      </w:r>
      <w:r w:rsidRPr="0065125A">
        <w:rPr>
          <w:rFonts w:cstheme="minorHAnsi"/>
        </w:rPr>
        <w:t xml:space="preserve"> </w:t>
      </w:r>
      <w:r w:rsidR="007D1A9D" w:rsidRPr="0065125A">
        <w:rPr>
          <w:rFonts w:cstheme="minorHAnsi"/>
          <w:i/>
          <w:iCs/>
        </w:rPr>
        <w:t>CRTC Russia Today Decision</w:t>
      </w:r>
      <w:r w:rsidR="007D1A9D" w:rsidRPr="0065125A">
        <w:rPr>
          <w:rFonts w:cstheme="minorHAnsi"/>
        </w:rPr>
        <w:t xml:space="preserve"> at </w:t>
      </w:r>
      <w:r w:rsidR="00EB34F2" w:rsidRPr="0065125A">
        <w:rPr>
          <w:rFonts w:cstheme="minorHAnsi"/>
        </w:rPr>
        <w:t>p</w:t>
      </w:r>
      <w:r w:rsidRPr="0065125A">
        <w:rPr>
          <w:rFonts w:cstheme="minorHAnsi"/>
        </w:rPr>
        <w:t>ara 1</w:t>
      </w:r>
      <w:r w:rsidR="00EB34F2" w:rsidRPr="0065125A">
        <w:rPr>
          <w:rFonts w:cstheme="minorHAnsi"/>
        </w:rPr>
        <w:t>.</w:t>
      </w:r>
    </w:p>
  </w:footnote>
  <w:footnote w:id="26">
    <w:p w14:paraId="5720DA71" w14:textId="41A19FCF" w:rsidR="00BE37F7" w:rsidRPr="0065125A" w:rsidRDefault="00BE37F7">
      <w:pPr>
        <w:pStyle w:val="FootnoteText"/>
        <w:rPr>
          <w:rFonts w:cstheme="minorHAnsi"/>
        </w:rPr>
      </w:pPr>
      <w:r w:rsidRPr="0065125A">
        <w:rPr>
          <w:rStyle w:val="FootnoteReference"/>
          <w:rFonts w:cstheme="minorHAnsi"/>
        </w:rPr>
        <w:footnoteRef/>
      </w:r>
      <w:r w:rsidRPr="0065125A">
        <w:rPr>
          <w:rFonts w:cstheme="minorHAnsi"/>
        </w:rPr>
        <w:t xml:space="preserve"> </w:t>
      </w:r>
      <w:r w:rsidR="00A91D76" w:rsidRPr="0065125A">
        <w:rPr>
          <w:rFonts w:cstheme="minorHAnsi"/>
          <w:i/>
          <w:iCs/>
        </w:rPr>
        <w:t xml:space="preserve">Broadcasting Act, </w:t>
      </w:r>
      <w:r w:rsidR="00A91D76" w:rsidRPr="0065125A">
        <w:rPr>
          <w:rFonts w:cstheme="minorHAnsi"/>
        </w:rPr>
        <w:t xml:space="preserve">s </w:t>
      </w:r>
      <w:r w:rsidRPr="0065125A">
        <w:rPr>
          <w:rFonts w:cstheme="minorHAnsi"/>
        </w:rPr>
        <w:t>15</w:t>
      </w:r>
      <w:r w:rsidR="0018733D" w:rsidRPr="0065125A">
        <w:rPr>
          <w:rFonts w:cstheme="minorHAnsi"/>
        </w:rPr>
        <w:t>.</w:t>
      </w:r>
    </w:p>
  </w:footnote>
  <w:footnote w:id="27">
    <w:p w14:paraId="31D61F57" w14:textId="5CA41EA8" w:rsidR="00693921" w:rsidRPr="0065125A" w:rsidRDefault="00693921">
      <w:pPr>
        <w:pStyle w:val="FootnoteText"/>
        <w:rPr>
          <w:rFonts w:cstheme="minorHAnsi"/>
        </w:rPr>
      </w:pPr>
      <w:r w:rsidRPr="0065125A">
        <w:rPr>
          <w:rStyle w:val="FootnoteReference"/>
          <w:rFonts w:cstheme="minorHAnsi"/>
        </w:rPr>
        <w:footnoteRef/>
      </w:r>
      <w:r w:rsidRPr="0065125A">
        <w:rPr>
          <w:rFonts w:cstheme="minorHAnsi"/>
        </w:rPr>
        <w:t xml:space="preserve"> </w:t>
      </w:r>
      <w:r w:rsidR="0018733D" w:rsidRPr="0065125A">
        <w:rPr>
          <w:rFonts w:cstheme="minorHAnsi"/>
          <w:i/>
          <w:iCs/>
        </w:rPr>
        <w:t>CRTC Russia Today Decision</w:t>
      </w:r>
      <w:r w:rsidR="0018733D" w:rsidRPr="0065125A">
        <w:rPr>
          <w:rFonts w:cstheme="minorHAnsi"/>
        </w:rPr>
        <w:t xml:space="preserve"> at p</w:t>
      </w:r>
      <w:r w:rsidR="00E16F5D" w:rsidRPr="0065125A">
        <w:rPr>
          <w:rFonts w:cstheme="minorHAnsi"/>
        </w:rPr>
        <w:t>aras 19</w:t>
      </w:r>
      <w:r w:rsidR="0018733D" w:rsidRPr="0065125A">
        <w:rPr>
          <w:rFonts w:cstheme="minorHAnsi"/>
        </w:rPr>
        <w:t xml:space="preserve"> -</w:t>
      </w:r>
      <w:r w:rsidR="00E16F5D" w:rsidRPr="0065125A">
        <w:rPr>
          <w:rFonts w:cstheme="minorHAnsi"/>
        </w:rPr>
        <w:t xml:space="preserve"> 29.</w:t>
      </w:r>
    </w:p>
  </w:footnote>
  <w:footnote w:id="28">
    <w:p w14:paraId="0D9270F5" w14:textId="3BF9170F" w:rsidR="00AC1CAB" w:rsidRPr="0065125A" w:rsidRDefault="00AC1CAB">
      <w:pPr>
        <w:pStyle w:val="FootnoteText"/>
        <w:rPr>
          <w:rFonts w:cstheme="minorHAnsi"/>
        </w:rPr>
      </w:pPr>
      <w:r w:rsidRPr="0065125A">
        <w:rPr>
          <w:rStyle w:val="FootnoteReference"/>
          <w:rFonts w:cstheme="minorHAnsi"/>
        </w:rPr>
        <w:footnoteRef/>
      </w:r>
      <w:r w:rsidRPr="0065125A">
        <w:rPr>
          <w:rFonts w:cstheme="minorHAnsi"/>
        </w:rPr>
        <w:t xml:space="preserve"> See the arguments against RT section above.</w:t>
      </w:r>
    </w:p>
  </w:footnote>
  <w:footnote w:id="29">
    <w:p w14:paraId="192C7DB2" w14:textId="47662A66" w:rsidR="00550083" w:rsidRPr="0065125A" w:rsidRDefault="00550083">
      <w:pPr>
        <w:pStyle w:val="FootnoteText"/>
        <w:rPr>
          <w:rFonts w:cstheme="minorHAnsi"/>
        </w:rPr>
      </w:pPr>
      <w:r w:rsidRPr="0065125A">
        <w:rPr>
          <w:rStyle w:val="FootnoteReference"/>
          <w:rFonts w:cstheme="minorHAnsi"/>
        </w:rPr>
        <w:footnoteRef/>
      </w:r>
      <w:r w:rsidRPr="0065125A">
        <w:rPr>
          <w:rFonts w:cstheme="minorHAnsi"/>
        </w:rPr>
        <w:t xml:space="preserve"> </w:t>
      </w:r>
      <w:r w:rsidR="00CD464E" w:rsidRPr="0065125A">
        <w:rPr>
          <w:rFonts w:cstheme="minorHAnsi"/>
          <w:i/>
          <w:iCs/>
        </w:rPr>
        <w:t>CRTC Russia Today Decision</w:t>
      </w:r>
      <w:r w:rsidR="00CD464E" w:rsidRPr="0065125A">
        <w:rPr>
          <w:rFonts w:cstheme="minorHAnsi"/>
        </w:rPr>
        <w:t xml:space="preserve"> at p</w:t>
      </w:r>
      <w:r w:rsidRPr="0065125A">
        <w:rPr>
          <w:rFonts w:cstheme="minorHAnsi"/>
        </w:rPr>
        <w:t xml:space="preserve">aras 51 </w:t>
      </w:r>
      <w:r w:rsidR="00C72623" w:rsidRPr="0065125A">
        <w:rPr>
          <w:rFonts w:cstheme="minorHAnsi"/>
        </w:rPr>
        <w:t>–</w:t>
      </w:r>
      <w:r w:rsidRPr="0065125A">
        <w:rPr>
          <w:rFonts w:cstheme="minorHAnsi"/>
        </w:rPr>
        <w:t xml:space="preserve"> 61</w:t>
      </w:r>
      <w:r w:rsidR="00C72623" w:rsidRPr="0065125A">
        <w:rPr>
          <w:rFonts w:cstheme="minorHAnsi"/>
        </w:rPr>
        <w:t>.</w:t>
      </w:r>
    </w:p>
  </w:footnote>
  <w:footnote w:id="30">
    <w:p w14:paraId="179B12ED" w14:textId="2B0F3AEB" w:rsidR="0077248F" w:rsidRPr="0065125A" w:rsidRDefault="0077248F">
      <w:pPr>
        <w:pStyle w:val="FootnoteText"/>
        <w:rPr>
          <w:rFonts w:cstheme="minorHAnsi"/>
        </w:rPr>
      </w:pPr>
      <w:r w:rsidRPr="0065125A">
        <w:rPr>
          <w:rStyle w:val="FootnoteReference"/>
          <w:rFonts w:cstheme="minorHAnsi"/>
        </w:rPr>
        <w:footnoteRef/>
      </w:r>
      <w:r w:rsidRPr="0065125A">
        <w:rPr>
          <w:rFonts w:cstheme="minorHAnsi"/>
        </w:rPr>
        <w:t xml:space="preserve"> See the arguments against RT section above.</w:t>
      </w:r>
    </w:p>
  </w:footnote>
  <w:footnote w:id="31">
    <w:p w14:paraId="3C14111C" w14:textId="7A1812B0" w:rsidR="00595BA4" w:rsidRPr="0065125A" w:rsidRDefault="00595BA4">
      <w:pPr>
        <w:pStyle w:val="FootnoteText"/>
        <w:rPr>
          <w:rFonts w:cstheme="minorHAnsi"/>
        </w:rPr>
      </w:pPr>
      <w:r w:rsidRPr="0065125A">
        <w:rPr>
          <w:rStyle w:val="FootnoteReference"/>
          <w:rFonts w:cstheme="minorHAnsi"/>
        </w:rPr>
        <w:footnoteRef/>
      </w:r>
      <w:r w:rsidRPr="0065125A">
        <w:rPr>
          <w:rFonts w:cstheme="minorHAnsi"/>
        </w:rPr>
        <w:t xml:space="preserve"> </w:t>
      </w:r>
      <w:r w:rsidR="0074271A" w:rsidRPr="0065125A">
        <w:rPr>
          <w:rFonts w:cstheme="minorHAnsi"/>
          <w:i/>
          <w:iCs/>
        </w:rPr>
        <w:t>CRTC Russia Today Decision</w:t>
      </w:r>
      <w:r w:rsidR="0074271A" w:rsidRPr="0065125A">
        <w:rPr>
          <w:rFonts w:cstheme="minorHAnsi"/>
        </w:rPr>
        <w:t xml:space="preserve"> at paras </w:t>
      </w:r>
      <w:r w:rsidR="00B1647E" w:rsidRPr="0065125A">
        <w:rPr>
          <w:rFonts w:cstheme="minorHAnsi"/>
        </w:rPr>
        <w:t>64-65</w:t>
      </w:r>
      <w:r w:rsidR="0074271A" w:rsidRPr="0065125A">
        <w:rPr>
          <w:rFonts w:cstheme="minorHAnsi"/>
        </w:rPr>
        <w:t>.</w:t>
      </w:r>
    </w:p>
  </w:footnote>
  <w:footnote w:id="32">
    <w:p w14:paraId="158BF38A" w14:textId="7517E573" w:rsidR="00654CB5" w:rsidRPr="0065125A" w:rsidRDefault="00654CB5">
      <w:pPr>
        <w:pStyle w:val="FootnoteText"/>
        <w:rPr>
          <w:rFonts w:cstheme="minorHAnsi"/>
        </w:rPr>
      </w:pPr>
      <w:r w:rsidRPr="0065125A">
        <w:rPr>
          <w:rStyle w:val="FootnoteReference"/>
          <w:rFonts w:cstheme="minorHAnsi"/>
        </w:rPr>
        <w:footnoteRef/>
      </w:r>
      <w:r w:rsidRPr="0065125A">
        <w:rPr>
          <w:rFonts w:cstheme="minorHAnsi"/>
        </w:rPr>
        <w:t xml:space="preserve"> </w:t>
      </w:r>
      <w:r w:rsidR="00906AEA" w:rsidRPr="0065125A">
        <w:rPr>
          <w:rFonts w:cstheme="minorHAnsi"/>
          <w:i/>
          <w:iCs/>
        </w:rPr>
        <w:t>CRTC Russia Today Decision</w:t>
      </w:r>
      <w:r w:rsidR="00906AEA" w:rsidRPr="0065125A">
        <w:rPr>
          <w:rFonts w:cstheme="minorHAnsi"/>
        </w:rPr>
        <w:t xml:space="preserve"> at para 66.</w:t>
      </w:r>
    </w:p>
  </w:footnote>
  <w:footnote w:id="33">
    <w:p w14:paraId="04C146D3" w14:textId="6D0BD5DB" w:rsidR="004717EF" w:rsidRPr="0065125A" w:rsidRDefault="004717EF">
      <w:pPr>
        <w:pStyle w:val="FootnoteText"/>
        <w:rPr>
          <w:rFonts w:cstheme="minorHAnsi"/>
        </w:rPr>
      </w:pPr>
      <w:r w:rsidRPr="0065125A">
        <w:rPr>
          <w:rStyle w:val="FootnoteReference"/>
          <w:rFonts w:cstheme="minorHAnsi"/>
        </w:rPr>
        <w:footnoteRef/>
      </w:r>
      <w:r w:rsidRPr="0065125A">
        <w:rPr>
          <w:rFonts w:cstheme="minorHAnsi"/>
        </w:rPr>
        <w:t xml:space="preserve"> </w:t>
      </w:r>
      <w:r w:rsidR="0074271A" w:rsidRPr="0065125A">
        <w:rPr>
          <w:rFonts w:cstheme="minorHAnsi"/>
          <w:i/>
          <w:iCs/>
        </w:rPr>
        <w:t>CRTC Russia Today Decision</w:t>
      </w:r>
      <w:r w:rsidR="0074271A" w:rsidRPr="0065125A">
        <w:rPr>
          <w:rFonts w:cstheme="minorHAnsi"/>
        </w:rPr>
        <w:t xml:space="preserve"> at para </w:t>
      </w:r>
      <w:r w:rsidRPr="0065125A">
        <w:rPr>
          <w:rFonts w:cstheme="minorHAnsi"/>
        </w:rPr>
        <w:t>67</w:t>
      </w:r>
      <w:r w:rsidR="0074271A" w:rsidRPr="0065125A">
        <w:rPr>
          <w:rFonts w:cstheme="minorHAnsi"/>
        </w:rPr>
        <w:t>.</w:t>
      </w:r>
    </w:p>
  </w:footnote>
  <w:footnote w:id="34">
    <w:p w14:paraId="7D72F469" w14:textId="006EB0A9" w:rsidR="000214E6" w:rsidRPr="0065125A" w:rsidRDefault="000214E6">
      <w:pPr>
        <w:pStyle w:val="FootnoteText"/>
        <w:rPr>
          <w:rFonts w:cstheme="minorHAnsi"/>
        </w:rPr>
      </w:pPr>
      <w:r w:rsidRPr="0065125A">
        <w:rPr>
          <w:rStyle w:val="FootnoteReference"/>
          <w:rFonts w:cstheme="minorHAnsi"/>
        </w:rPr>
        <w:footnoteRef/>
      </w:r>
      <w:r w:rsidRPr="0065125A">
        <w:rPr>
          <w:rFonts w:cstheme="minorHAnsi"/>
        </w:rPr>
        <w:t xml:space="preserve"> </w:t>
      </w:r>
      <w:r w:rsidR="00235235" w:rsidRPr="0065125A">
        <w:rPr>
          <w:rFonts w:cstheme="minorHAnsi"/>
          <w:i/>
          <w:iCs/>
        </w:rPr>
        <w:t>CRTC Russia Today Decision</w:t>
      </w:r>
      <w:r w:rsidR="00235235" w:rsidRPr="0065125A">
        <w:rPr>
          <w:rFonts w:cstheme="minorHAnsi"/>
        </w:rPr>
        <w:t xml:space="preserve"> at para 71.</w:t>
      </w:r>
    </w:p>
  </w:footnote>
  <w:footnote w:id="35">
    <w:p w14:paraId="2D1BBE15" w14:textId="2DA6E0BA" w:rsidR="001B0638" w:rsidRPr="0065125A" w:rsidRDefault="001B0638">
      <w:pPr>
        <w:pStyle w:val="FootnoteText"/>
        <w:rPr>
          <w:rFonts w:cstheme="minorHAnsi"/>
        </w:rPr>
      </w:pPr>
      <w:r w:rsidRPr="0065125A">
        <w:rPr>
          <w:rStyle w:val="FootnoteReference"/>
          <w:rFonts w:cstheme="minorHAnsi"/>
        </w:rPr>
        <w:footnoteRef/>
      </w:r>
      <w:r w:rsidRPr="0065125A">
        <w:rPr>
          <w:rFonts w:cstheme="minorHAnsi"/>
        </w:rPr>
        <w:t xml:space="preserve"> </w:t>
      </w:r>
      <w:r w:rsidR="00A44A16" w:rsidRPr="0065125A">
        <w:rPr>
          <w:rFonts w:cstheme="minorHAnsi"/>
          <w:i/>
          <w:iCs/>
        </w:rPr>
        <w:t>Canada (Minister of Citizenship and Immigration) v. Vavilov</w:t>
      </w:r>
      <w:r w:rsidR="00A44A16" w:rsidRPr="0065125A">
        <w:rPr>
          <w:rFonts w:cstheme="minorHAnsi"/>
        </w:rPr>
        <w:t xml:space="preserve">, 2019 SCC 65 at para </w:t>
      </w:r>
      <w:r w:rsidRPr="0065125A">
        <w:rPr>
          <w:rFonts w:cstheme="minorHAnsi"/>
        </w:rPr>
        <w:t>46</w:t>
      </w:r>
      <w:r w:rsidR="00B55666" w:rsidRPr="0065125A">
        <w:rPr>
          <w:rFonts w:cstheme="minorHAnsi"/>
        </w:rPr>
        <w:t xml:space="preserve"> [Vavilov]</w:t>
      </w:r>
      <w:r w:rsidRPr="0065125A">
        <w:rPr>
          <w:rFonts w:cstheme="minorHAnsi"/>
        </w:rPr>
        <w:t xml:space="preserve">. </w:t>
      </w:r>
    </w:p>
  </w:footnote>
  <w:footnote w:id="36">
    <w:p w14:paraId="4BA52AC7" w14:textId="7412A2E5" w:rsidR="00B659F6" w:rsidRPr="0065125A" w:rsidRDefault="00B659F6">
      <w:pPr>
        <w:pStyle w:val="FootnoteText"/>
        <w:rPr>
          <w:rFonts w:cstheme="minorHAnsi"/>
        </w:rPr>
      </w:pPr>
      <w:r w:rsidRPr="0065125A">
        <w:rPr>
          <w:rStyle w:val="FootnoteReference"/>
          <w:rFonts w:cstheme="minorHAnsi"/>
        </w:rPr>
        <w:footnoteRef/>
      </w:r>
      <w:r w:rsidRPr="0065125A">
        <w:rPr>
          <w:rFonts w:cstheme="minorHAnsi"/>
        </w:rPr>
        <w:t xml:space="preserve"> </w:t>
      </w:r>
      <w:r w:rsidR="007E7115" w:rsidRPr="0065125A">
        <w:rPr>
          <w:rFonts w:cstheme="minorHAnsi"/>
          <w:i/>
          <w:iCs/>
        </w:rPr>
        <w:t xml:space="preserve">Vavilov </w:t>
      </w:r>
      <w:r w:rsidR="007E7115" w:rsidRPr="0065125A">
        <w:rPr>
          <w:rFonts w:cstheme="minorHAnsi"/>
        </w:rPr>
        <w:t>at p</w:t>
      </w:r>
      <w:r w:rsidRPr="0065125A">
        <w:rPr>
          <w:rFonts w:cstheme="minorHAnsi"/>
        </w:rPr>
        <w:t>ara 35</w:t>
      </w:r>
      <w:r w:rsidR="007E7115" w:rsidRPr="0065125A">
        <w:rPr>
          <w:rFonts w:cstheme="minorHAnsi"/>
        </w:rPr>
        <w:t>.</w:t>
      </w:r>
    </w:p>
  </w:footnote>
  <w:footnote w:id="37">
    <w:p w14:paraId="52671A06" w14:textId="61A0EA44" w:rsidR="00C14322" w:rsidRPr="0065125A" w:rsidRDefault="00C14322">
      <w:pPr>
        <w:pStyle w:val="FootnoteText"/>
        <w:rPr>
          <w:rFonts w:cstheme="minorHAnsi"/>
        </w:rPr>
      </w:pPr>
      <w:r w:rsidRPr="0065125A">
        <w:rPr>
          <w:rStyle w:val="FootnoteReference"/>
          <w:rFonts w:cstheme="minorHAnsi"/>
        </w:rPr>
        <w:footnoteRef/>
      </w:r>
      <w:r w:rsidRPr="0065125A">
        <w:rPr>
          <w:rFonts w:cstheme="minorHAnsi"/>
        </w:rPr>
        <w:t xml:space="preserve"> </w:t>
      </w:r>
      <w:r w:rsidR="007E7115" w:rsidRPr="0065125A">
        <w:rPr>
          <w:rFonts w:cstheme="minorHAnsi"/>
          <w:i/>
          <w:iCs/>
        </w:rPr>
        <w:t xml:space="preserve">Vavilov </w:t>
      </w:r>
      <w:r w:rsidR="007E7115" w:rsidRPr="0065125A">
        <w:rPr>
          <w:rFonts w:cstheme="minorHAnsi"/>
        </w:rPr>
        <w:t xml:space="preserve">at paras </w:t>
      </w:r>
      <w:r w:rsidRPr="0065125A">
        <w:rPr>
          <w:rFonts w:cstheme="minorHAnsi"/>
        </w:rPr>
        <w:t xml:space="preserve">46 </w:t>
      </w:r>
      <w:r w:rsidR="007E7115" w:rsidRPr="0065125A">
        <w:rPr>
          <w:rFonts w:cstheme="minorHAnsi"/>
        </w:rPr>
        <w:t>–</w:t>
      </w:r>
      <w:r w:rsidRPr="0065125A">
        <w:rPr>
          <w:rFonts w:cstheme="minorHAnsi"/>
        </w:rPr>
        <w:t xml:space="preserve"> 47</w:t>
      </w:r>
      <w:r w:rsidR="007E7115" w:rsidRPr="0065125A">
        <w:rPr>
          <w:rFonts w:cstheme="minorHAnsi"/>
        </w:rPr>
        <w:t>.</w:t>
      </w:r>
    </w:p>
  </w:footnote>
  <w:footnote w:id="38">
    <w:p w14:paraId="31123BBA" w14:textId="70162392" w:rsidR="00C276EF" w:rsidRPr="0065125A" w:rsidRDefault="00C276EF">
      <w:pPr>
        <w:pStyle w:val="FootnoteText"/>
        <w:rPr>
          <w:rFonts w:cstheme="minorHAnsi"/>
        </w:rPr>
      </w:pPr>
      <w:r w:rsidRPr="0065125A">
        <w:rPr>
          <w:rStyle w:val="FootnoteReference"/>
          <w:rFonts w:cstheme="minorHAnsi"/>
        </w:rPr>
        <w:footnoteRef/>
      </w:r>
      <w:r w:rsidRPr="0065125A">
        <w:rPr>
          <w:rFonts w:cstheme="minorHAnsi"/>
        </w:rPr>
        <w:t xml:space="preserve"> </w:t>
      </w:r>
      <w:r w:rsidR="007E7115" w:rsidRPr="0065125A">
        <w:rPr>
          <w:rFonts w:cstheme="minorHAnsi"/>
          <w:i/>
          <w:iCs/>
        </w:rPr>
        <w:t xml:space="preserve">Vavilov </w:t>
      </w:r>
      <w:r w:rsidR="007E7115" w:rsidRPr="0065125A">
        <w:rPr>
          <w:rFonts w:cstheme="minorHAnsi"/>
        </w:rPr>
        <w:t>at para</w:t>
      </w:r>
      <w:r w:rsidRPr="0065125A">
        <w:rPr>
          <w:rFonts w:cstheme="minorHAnsi"/>
        </w:rPr>
        <w:t>s 50-52</w:t>
      </w:r>
      <w:r w:rsidR="00FF1F03" w:rsidRPr="0065125A">
        <w:rPr>
          <w:rFonts w:cstheme="minorHAnsi"/>
        </w:rPr>
        <w:t>.</w:t>
      </w:r>
    </w:p>
  </w:footnote>
  <w:footnote w:id="39">
    <w:p w14:paraId="4984EEFE" w14:textId="7790CC47" w:rsidR="00975B0C" w:rsidRPr="0065125A" w:rsidRDefault="00975B0C">
      <w:pPr>
        <w:pStyle w:val="FootnoteText"/>
        <w:rPr>
          <w:rFonts w:cstheme="minorHAnsi"/>
        </w:rPr>
      </w:pPr>
      <w:r w:rsidRPr="0065125A">
        <w:rPr>
          <w:rStyle w:val="FootnoteReference"/>
          <w:rFonts w:cstheme="minorHAnsi"/>
        </w:rPr>
        <w:footnoteRef/>
      </w:r>
      <w:r w:rsidRPr="0065125A">
        <w:rPr>
          <w:rFonts w:cstheme="minorHAnsi"/>
        </w:rPr>
        <w:t xml:space="preserve"> </w:t>
      </w:r>
      <w:r w:rsidR="00FF1F03" w:rsidRPr="0065125A">
        <w:rPr>
          <w:rFonts w:cstheme="minorHAnsi"/>
          <w:i/>
          <w:iCs/>
        </w:rPr>
        <w:t xml:space="preserve">Vavilov </w:t>
      </w:r>
      <w:r w:rsidR="00FF1F03" w:rsidRPr="0065125A">
        <w:rPr>
          <w:rFonts w:cstheme="minorHAnsi"/>
        </w:rPr>
        <w:t>at p</w:t>
      </w:r>
      <w:r w:rsidRPr="0065125A">
        <w:rPr>
          <w:rFonts w:cstheme="minorHAnsi"/>
        </w:rPr>
        <w:t>aras 53</w:t>
      </w:r>
      <w:r w:rsidR="005650A7" w:rsidRPr="0065125A">
        <w:rPr>
          <w:rFonts w:cstheme="minorHAnsi"/>
        </w:rPr>
        <w:t xml:space="preserve"> </w:t>
      </w:r>
      <w:r w:rsidR="005E2E2C" w:rsidRPr="0065125A">
        <w:rPr>
          <w:rFonts w:cstheme="minorHAnsi"/>
        </w:rPr>
        <w:t>–</w:t>
      </w:r>
      <w:r w:rsidR="005650A7" w:rsidRPr="0065125A">
        <w:rPr>
          <w:rFonts w:cstheme="minorHAnsi"/>
        </w:rPr>
        <w:t xml:space="preserve"> 68</w:t>
      </w:r>
      <w:r w:rsidR="005E2E2C" w:rsidRPr="0065125A">
        <w:rPr>
          <w:rFonts w:cstheme="minorHAnsi"/>
        </w:rPr>
        <w:t>.</w:t>
      </w:r>
    </w:p>
  </w:footnote>
  <w:footnote w:id="40">
    <w:p w14:paraId="62172E05" w14:textId="55F4A09E" w:rsidR="00071351" w:rsidRPr="0065125A" w:rsidRDefault="00071351">
      <w:pPr>
        <w:pStyle w:val="FootnoteText"/>
        <w:rPr>
          <w:rFonts w:cstheme="minorHAnsi"/>
        </w:rPr>
      </w:pPr>
      <w:r w:rsidRPr="0065125A">
        <w:rPr>
          <w:rStyle w:val="FootnoteReference"/>
          <w:rFonts w:cstheme="minorHAnsi"/>
        </w:rPr>
        <w:footnoteRef/>
      </w:r>
      <w:r w:rsidRPr="0065125A">
        <w:rPr>
          <w:rFonts w:cstheme="minorHAnsi"/>
        </w:rPr>
        <w:t xml:space="preserve"> </w:t>
      </w:r>
      <w:proofErr w:type="spellStart"/>
      <w:r w:rsidR="00471E85" w:rsidRPr="0065125A">
        <w:rPr>
          <w:rFonts w:cstheme="minorHAnsi"/>
          <w:i/>
          <w:iCs/>
        </w:rPr>
        <w:t>Canwest</w:t>
      </w:r>
      <w:proofErr w:type="spellEnd"/>
      <w:r w:rsidR="00471E85" w:rsidRPr="0065125A">
        <w:rPr>
          <w:rFonts w:cstheme="minorHAnsi"/>
          <w:i/>
          <w:iCs/>
        </w:rPr>
        <w:t xml:space="preserve"> Television GP Inc. (the general partner) and </w:t>
      </w:r>
      <w:proofErr w:type="spellStart"/>
      <w:r w:rsidR="00471E85" w:rsidRPr="0065125A">
        <w:rPr>
          <w:rFonts w:cstheme="minorHAnsi"/>
          <w:i/>
          <w:iCs/>
        </w:rPr>
        <w:t>Canwest</w:t>
      </w:r>
      <w:proofErr w:type="spellEnd"/>
      <w:r w:rsidR="00471E85" w:rsidRPr="0065125A">
        <w:rPr>
          <w:rFonts w:cstheme="minorHAnsi"/>
          <w:i/>
          <w:iCs/>
        </w:rPr>
        <w:t xml:space="preserve"> Media Inc. (the limited partner), carrying</w:t>
      </w:r>
      <w:r w:rsidR="00C0430D" w:rsidRPr="0065125A">
        <w:rPr>
          <w:rFonts w:cstheme="minorHAnsi"/>
          <w:i/>
          <w:iCs/>
        </w:rPr>
        <w:t xml:space="preserve"> on business as </w:t>
      </w:r>
      <w:proofErr w:type="spellStart"/>
      <w:r w:rsidR="00C0430D" w:rsidRPr="0065125A">
        <w:rPr>
          <w:rFonts w:cstheme="minorHAnsi"/>
          <w:i/>
          <w:iCs/>
        </w:rPr>
        <w:t>Canwest</w:t>
      </w:r>
      <w:proofErr w:type="spellEnd"/>
      <w:r w:rsidR="00C0430D" w:rsidRPr="0065125A">
        <w:rPr>
          <w:rFonts w:cstheme="minorHAnsi"/>
          <w:i/>
          <w:iCs/>
        </w:rPr>
        <w:t xml:space="preserve"> Television Limited Partnership) </w:t>
      </w:r>
      <w:r w:rsidR="00F919D3" w:rsidRPr="0065125A">
        <w:rPr>
          <w:rFonts w:cstheme="minorHAnsi"/>
        </w:rPr>
        <w:t>(28 September 2010),</w:t>
      </w:r>
      <w:r w:rsidR="0058022E" w:rsidRPr="0065125A">
        <w:rPr>
          <w:rFonts w:cstheme="minorHAnsi"/>
        </w:rPr>
        <w:t xml:space="preserve"> CRTC 2010-716</w:t>
      </w:r>
      <w:r w:rsidR="00C0430D" w:rsidRPr="0065125A">
        <w:rPr>
          <w:rFonts w:cstheme="minorHAnsi"/>
        </w:rPr>
        <w:t xml:space="preserve"> at p</w:t>
      </w:r>
      <w:r w:rsidR="0058022E" w:rsidRPr="0065125A">
        <w:rPr>
          <w:rFonts w:cstheme="minorHAnsi"/>
        </w:rPr>
        <w:t>ara 18</w:t>
      </w:r>
      <w:r w:rsidR="00083C6B" w:rsidRPr="0065125A">
        <w:rPr>
          <w:rFonts w:cstheme="minorHAnsi"/>
        </w:rPr>
        <w:t xml:space="preserve"> [CRTC </w:t>
      </w:r>
      <w:proofErr w:type="spellStart"/>
      <w:r w:rsidR="00083C6B" w:rsidRPr="0065125A">
        <w:rPr>
          <w:rFonts w:cstheme="minorHAnsi"/>
        </w:rPr>
        <w:t>Canwest</w:t>
      </w:r>
      <w:proofErr w:type="spellEnd"/>
      <w:r w:rsidR="00083C6B" w:rsidRPr="0065125A">
        <w:rPr>
          <w:rFonts w:cstheme="minorHAnsi"/>
        </w:rPr>
        <w:t xml:space="preserve"> Decision]</w:t>
      </w:r>
      <w:r w:rsidR="00FC4F17" w:rsidRPr="0065125A">
        <w:rPr>
          <w:rFonts w:cstheme="minorHAnsi"/>
        </w:rPr>
        <w:t>.</w:t>
      </w:r>
    </w:p>
  </w:footnote>
  <w:footnote w:id="41">
    <w:p w14:paraId="702C2969" w14:textId="26FACEAA" w:rsidR="00071351" w:rsidRPr="0065125A" w:rsidRDefault="00071351">
      <w:pPr>
        <w:pStyle w:val="FootnoteText"/>
        <w:rPr>
          <w:rFonts w:cstheme="minorHAnsi"/>
        </w:rPr>
      </w:pPr>
      <w:r w:rsidRPr="0065125A">
        <w:rPr>
          <w:rStyle w:val="FootnoteReference"/>
          <w:rFonts w:cstheme="minorHAnsi"/>
        </w:rPr>
        <w:footnoteRef/>
      </w:r>
      <w:r w:rsidR="00D672E0" w:rsidRPr="0065125A">
        <w:rPr>
          <w:rFonts w:cstheme="minorHAnsi"/>
          <w:i/>
          <w:iCs/>
        </w:rPr>
        <w:t>Television Broadcasting Regulations,</w:t>
      </w:r>
      <w:r w:rsidRPr="0065125A">
        <w:rPr>
          <w:rFonts w:cstheme="minorHAnsi"/>
        </w:rPr>
        <w:t xml:space="preserve"> </w:t>
      </w:r>
      <w:r w:rsidR="00D672E0" w:rsidRPr="0065125A">
        <w:rPr>
          <w:rFonts w:cstheme="minorHAnsi"/>
        </w:rPr>
        <w:t xml:space="preserve">s </w:t>
      </w:r>
      <w:r w:rsidRPr="0065125A">
        <w:rPr>
          <w:rFonts w:cstheme="minorHAnsi"/>
        </w:rPr>
        <w:t>5(1)(b)</w:t>
      </w:r>
      <w:r w:rsidR="00D672E0" w:rsidRPr="0065125A">
        <w:rPr>
          <w:rFonts w:cstheme="minorHAnsi"/>
        </w:rPr>
        <w:t>.</w:t>
      </w:r>
    </w:p>
  </w:footnote>
  <w:footnote w:id="42">
    <w:p w14:paraId="4B49DDD1" w14:textId="744DE9C2" w:rsidR="005E1989" w:rsidRPr="0065125A" w:rsidRDefault="005E1989">
      <w:pPr>
        <w:pStyle w:val="FootnoteText"/>
        <w:rPr>
          <w:rFonts w:cstheme="minorHAnsi"/>
        </w:rPr>
      </w:pPr>
      <w:r w:rsidRPr="0065125A">
        <w:rPr>
          <w:rStyle w:val="FootnoteReference"/>
          <w:rFonts w:cstheme="minorHAnsi"/>
        </w:rPr>
        <w:footnoteRef/>
      </w:r>
      <w:r w:rsidRPr="0065125A">
        <w:rPr>
          <w:rFonts w:cstheme="minorHAnsi"/>
        </w:rPr>
        <w:t xml:space="preserve"> </w:t>
      </w:r>
      <w:r w:rsidR="00A44FFB" w:rsidRPr="0065125A">
        <w:rPr>
          <w:rFonts w:cstheme="minorHAnsi"/>
          <w:i/>
          <w:iCs/>
        </w:rPr>
        <w:t xml:space="preserve">CRTC </w:t>
      </w:r>
      <w:proofErr w:type="spellStart"/>
      <w:r w:rsidR="00A44FFB" w:rsidRPr="0065125A">
        <w:rPr>
          <w:rFonts w:cstheme="minorHAnsi"/>
          <w:i/>
          <w:iCs/>
        </w:rPr>
        <w:t>Canwest</w:t>
      </w:r>
      <w:proofErr w:type="spellEnd"/>
      <w:r w:rsidR="00A44FFB" w:rsidRPr="0065125A">
        <w:rPr>
          <w:rFonts w:cstheme="minorHAnsi"/>
          <w:i/>
          <w:iCs/>
        </w:rPr>
        <w:t xml:space="preserve"> Decision </w:t>
      </w:r>
      <w:r w:rsidR="00A44FFB" w:rsidRPr="0065125A">
        <w:rPr>
          <w:rFonts w:cstheme="minorHAnsi"/>
        </w:rPr>
        <w:t>at</w:t>
      </w:r>
      <w:r w:rsidRPr="0065125A">
        <w:rPr>
          <w:rFonts w:cstheme="minorHAnsi"/>
        </w:rPr>
        <w:t xml:space="preserve"> </w:t>
      </w:r>
      <w:r w:rsidR="00A44FFB" w:rsidRPr="0065125A">
        <w:rPr>
          <w:rFonts w:cstheme="minorHAnsi"/>
        </w:rPr>
        <w:t>p</w:t>
      </w:r>
      <w:r w:rsidRPr="0065125A">
        <w:rPr>
          <w:rFonts w:cstheme="minorHAnsi"/>
        </w:rPr>
        <w:t>ara 18</w:t>
      </w:r>
      <w:r w:rsidR="00083C6B" w:rsidRPr="0065125A">
        <w:rPr>
          <w:rFonts w:cstheme="minorHAnsi"/>
        </w:rPr>
        <w:t>.</w:t>
      </w:r>
    </w:p>
  </w:footnote>
  <w:footnote w:id="43">
    <w:p w14:paraId="46783128" w14:textId="43F86240" w:rsidR="00992ED7" w:rsidRPr="0065125A" w:rsidRDefault="00992ED7">
      <w:pPr>
        <w:pStyle w:val="FootnoteText"/>
        <w:rPr>
          <w:rFonts w:cstheme="minorHAnsi"/>
        </w:rPr>
      </w:pPr>
      <w:r w:rsidRPr="0065125A">
        <w:rPr>
          <w:rStyle w:val="FootnoteReference"/>
          <w:rFonts w:cstheme="minorHAnsi"/>
        </w:rPr>
        <w:footnoteRef/>
      </w:r>
      <w:r w:rsidRPr="0065125A">
        <w:rPr>
          <w:rFonts w:cstheme="minorHAnsi"/>
        </w:rPr>
        <w:t xml:space="preserve"> </w:t>
      </w:r>
      <w:r w:rsidR="000A1992" w:rsidRPr="0065125A">
        <w:rPr>
          <w:rFonts w:cstheme="minorHAnsi"/>
          <w:i/>
          <w:iCs/>
        </w:rPr>
        <w:t xml:space="preserve">Complaint relating to the broadcast of Bouchard </w:t>
      </w:r>
      <w:proofErr w:type="spellStart"/>
      <w:r w:rsidR="000A1992" w:rsidRPr="0065125A">
        <w:rPr>
          <w:rFonts w:cstheme="minorHAnsi"/>
          <w:i/>
          <w:iCs/>
        </w:rPr>
        <w:t>en</w:t>
      </w:r>
      <w:proofErr w:type="spellEnd"/>
      <w:r w:rsidR="000A1992" w:rsidRPr="0065125A">
        <w:rPr>
          <w:rFonts w:cstheme="minorHAnsi"/>
          <w:i/>
          <w:iCs/>
        </w:rPr>
        <w:t xml:space="preserve"> parle on CJMF-FM Quebec </w:t>
      </w:r>
      <w:r w:rsidR="001B2B0D" w:rsidRPr="0065125A">
        <w:rPr>
          <w:rFonts w:cstheme="minorHAnsi"/>
        </w:rPr>
        <w:t>(30 July 2010),</w:t>
      </w:r>
      <w:r w:rsidRPr="0065125A">
        <w:rPr>
          <w:rFonts w:cstheme="minorHAnsi"/>
        </w:rPr>
        <w:t xml:space="preserve"> CRTC 2010-534</w:t>
      </w:r>
      <w:r w:rsidR="000A1992" w:rsidRPr="0065125A">
        <w:rPr>
          <w:rFonts w:cstheme="minorHAnsi"/>
        </w:rPr>
        <w:t xml:space="preserve"> at</w:t>
      </w:r>
      <w:r w:rsidR="00E10413" w:rsidRPr="0065125A">
        <w:rPr>
          <w:rFonts w:cstheme="minorHAnsi"/>
        </w:rPr>
        <w:t xml:space="preserve"> para</w:t>
      </w:r>
      <w:r w:rsidR="00F74235" w:rsidRPr="0065125A">
        <w:rPr>
          <w:rFonts w:cstheme="minorHAnsi"/>
        </w:rPr>
        <w:t>s</w:t>
      </w:r>
      <w:r w:rsidR="00E10413" w:rsidRPr="0065125A">
        <w:rPr>
          <w:rFonts w:cstheme="minorHAnsi"/>
        </w:rPr>
        <w:t xml:space="preserve"> </w:t>
      </w:r>
      <w:r w:rsidR="001B52D8" w:rsidRPr="0065125A">
        <w:rPr>
          <w:rFonts w:cstheme="minorHAnsi"/>
        </w:rPr>
        <w:t>9 and 18</w:t>
      </w:r>
      <w:r w:rsidR="000A1992" w:rsidRPr="0065125A">
        <w:rPr>
          <w:rFonts w:cstheme="minorHAnsi"/>
        </w:rPr>
        <w:t>.</w:t>
      </w:r>
    </w:p>
  </w:footnote>
  <w:footnote w:id="44">
    <w:p w14:paraId="28353BF6" w14:textId="0BEF97C9" w:rsidR="00333B5B" w:rsidRPr="0065125A" w:rsidRDefault="00333B5B">
      <w:pPr>
        <w:pStyle w:val="FootnoteText"/>
        <w:rPr>
          <w:rFonts w:cstheme="minorHAnsi"/>
        </w:rPr>
      </w:pPr>
      <w:r w:rsidRPr="0065125A">
        <w:rPr>
          <w:rStyle w:val="FootnoteReference"/>
          <w:rFonts w:cstheme="minorHAnsi"/>
        </w:rPr>
        <w:footnoteRef/>
      </w:r>
      <w:r w:rsidRPr="0065125A">
        <w:rPr>
          <w:rFonts w:cstheme="minorHAnsi"/>
        </w:rPr>
        <w:t xml:space="preserve"> </w:t>
      </w:r>
      <w:r w:rsidR="002F096E" w:rsidRPr="0065125A">
        <w:rPr>
          <w:rFonts w:cstheme="minorHAnsi"/>
          <w:i/>
          <w:iCs/>
        </w:rPr>
        <w:t xml:space="preserve">Complaint concerning the broadcast of an episode of Les </w:t>
      </w:r>
      <w:proofErr w:type="spellStart"/>
      <w:r w:rsidR="002F096E" w:rsidRPr="0065125A">
        <w:rPr>
          <w:rFonts w:cstheme="minorHAnsi"/>
          <w:i/>
          <w:iCs/>
        </w:rPr>
        <w:t>Franchs-tireurs</w:t>
      </w:r>
      <w:proofErr w:type="spellEnd"/>
      <w:r w:rsidR="002F096E" w:rsidRPr="0065125A">
        <w:rPr>
          <w:rFonts w:cstheme="minorHAnsi"/>
          <w:i/>
          <w:iCs/>
        </w:rPr>
        <w:t xml:space="preserve"> by Tele-Quebec </w:t>
      </w:r>
      <w:r w:rsidR="002F096E" w:rsidRPr="0065125A">
        <w:rPr>
          <w:rFonts w:cstheme="minorHAnsi"/>
        </w:rPr>
        <w:t xml:space="preserve">(28 July 2005), </w:t>
      </w:r>
      <w:r w:rsidRPr="0065125A">
        <w:rPr>
          <w:rFonts w:cstheme="minorHAnsi"/>
        </w:rPr>
        <w:t>CRTC 2005-348</w:t>
      </w:r>
      <w:r w:rsidR="009A0E7D" w:rsidRPr="0065125A">
        <w:rPr>
          <w:rFonts w:cstheme="minorHAnsi"/>
        </w:rPr>
        <w:t xml:space="preserve"> at</w:t>
      </w:r>
      <w:r w:rsidRPr="0065125A">
        <w:rPr>
          <w:rFonts w:cstheme="minorHAnsi"/>
        </w:rPr>
        <w:t xml:space="preserve"> para 14</w:t>
      </w:r>
      <w:r w:rsidR="009A0E7D" w:rsidRPr="0065125A">
        <w:rPr>
          <w:rFonts w:cstheme="minorHAnsi"/>
        </w:rPr>
        <w:t>.</w:t>
      </w:r>
    </w:p>
  </w:footnote>
  <w:footnote w:id="45">
    <w:p w14:paraId="177761BB" w14:textId="00D155AC" w:rsidR="00D55229" w:rsidRPr="0065125A" w:rsidRDefault="00D55229">
      <w:pPr>
        <w:pStyle w:val="FootnoteText"/>
        <w:rPr>
          <w:rFonts w:cstheme="minorHAnsi"/>
        </w:rPr>
      </w:pPr>
      <w:r w:rsidRPr="0065125A">
        <w:rPr>
          <w:rStyle w:val="FootnoteReference"/>
          <w:rFonts w:cstheme="minorHAnsi"/>
        </w:rPr>
        <w:footnoteRef/>
      </w:r>
      <w:r w:rsidRPr="0065125A">
        <w:rPr>
          <w:rFonts w:cstheme="minorHAnsi"/>
        </w:rPr>
        <w:t xml:space="preserve"> </w:t>
      </w:r>
      <w:r w:rsidRPr="0065125A">
        <w:rPr>
          <w:rFonts w:cstheme="minorHAnsi"/>
          <w:i/>
          <w:iCs/>
        </w:rPr>
        <w:t>Ibid</w:t>
      </w:r>
      <w:r w:rsidR="00CA3F6E" w:rsidRPr="0065125A">
        <w:rPr>
          <w:rFonts w:cstheme="minorHAnsi"/>
        </w:rPr>
        <w:t xml:space="preserve"> at</w:t>
      </w:r>
      <w:r w:rsidRPr="0065125A">
        <w:rPr>
          <w:rFonts w:cstheme="minorHAnsi"/>
        </w:rPr>
        <w:t xml:space="preserve"> para 13.</w:t>
      </w:r>
    </w:p>
  </w:footnote>
  <w:footnote w:id="46">
    <w:p w14:paraId="19E20F25" w14:textId="1966ED10" w:rsidR="00F9007B" w:rsidRPr="0065125A" w:rsidRDefault="00F9007B">
      <w:pPr>
        <w:pStyle w:val="FootnoteText"/>
        <w:rPr>
          <w:rFonts w:cstheme="minorHAnsi"/>
        </w:rPr>
      </w:pPr>
      <w:r w:rsidRPr="0065125A">
        <w:rPr>
          <w:rStyle w:val="FootnoteReference"/>
          <w:rFonts w:cstheme="minorHAnsi"/>
        </w:rPr>
        <w:footnoteRef/>
      </w:r>
      <w:r w:rsidRPr="0065125A">
        <w:rPr>
          <w:rFonts w:cstheme="minorHAnsi"/>
        </w:rPr>
        <w:t xml:space="preserve"> </w:t>
      </w:r>
      <w:r w:rsidR="00CA3F6E" w:rsidRPr="0065125A">
        <w:rPr>
          <w:rFonts w:cstheme="minorHAnsi"/>
          <w:i/>
          <w:iCs/>
        </w:rPr>
        <w:t>Ibid</w:t>
      </w:r>
      <w:r w:rsidR="00CA3F6E" w:rsidRPr="0065125A">
        <w:rPr>
          <w:rFonts w:cstheme="minorHAnsi"/>
        </w:rPr>
        <w:t xml:space="preserve"> at p</w:t>
      </w:r>
      <w:r w:rsidRPr="0065125A">
        <w:rPr>
          <w:rFonts w:cstheme="minorHAnsi"/>
        </w:rPr>
        <w:t>ara 17</w:t>
      </w:r>
      <w:r w:rsidR="00CA3F6E" w:rsidRPr="0065125A">
        <w:rPr>
          <w:rFonts w:cstheme="minorHAnsi"/>
        </w:rPr>
        <w:t>.</w:t>
      </w:r>
    </w:p>
  </w:footnote>
  <w:footnote w:id="47">
    <w:p w14:paraId="552D6EAB" w14:textId="407DF594" w:rsidR="0084196A" w:rsidRPr="0065125A" w:rsidRDefault="0084196A">
      <w:pPr>
        <w:pStyle w:val="FootnoteText"/>
        <w:rPr>
          <w:rFonts w:cstheme="minorHAnsi"/>
        </w:rPr>
      </w:pPr>
      <w:r w:rsidRPr="0065125A">
        <w:rPr>
          <w:rStyle w:val="FootnoteReference"/>
          <w:rFonts w:cstheme="minorHAnsi"/>
        </w:rPr>
        <w:footnoteRef/>
      </w:r>
      <w:r w:rsidRPr="0065125A">
        <w:rPr>
          <w:rFonts w:cstheme="minorHAnsi"/>
        </w:rPr>
        <w:t xml:space="preserve"> </w:t>
      </w:r>
      <w:r w:rsidR="00CA3F6E" w:rsidRPr="0065125A">
        <w:rPr>
          <w:rFonts w:cstheme="minorHAnsi"/>
          <w:i/>
          <w:iCs/>
        </w:rPr>
        <w:t>Ibid</w:t>
      </w:r>
      <w:r w:rsidR="00CA3F6E" w:rsidRPr="0065125A">
        <w:rPr>
          <w:rFonts w:cstheme="minorHAnsi"/>
        </w:rPr>
        <w:t xml:space="preserve"> at p</w:t>
      </w:r>
      <w:r w:rsidR="00BE2DB3" w:rsidRPr="0065125A">
        <w:rPr>
          <w:rFonts w:cstheme="minorHAnsi"/>
        </w:rPr>
        <w:t>aras 19 – 22</w:t>
      </w:r>
      <w:r w:rsidR="00CA3F6E" w:rsidRPr="0065125A">
        <w:rPr>
          <w:rFonts w:cstheme="minorHAnsi"/>
        </w:rPr>
        <w:t>.</w:t>
      </w:r>
    </w:p>
  </w:footnote>
  <w:footnote w:id="48">
    <w:p w14:paraId="29364FF3" w14:textId="17F44152" w:rsidR="0094639D" w:rsidRPr="0065125A" w:rsidRDefault="0094639D">
      <w:pPr>
        <w:pStyle w:val="FootnoteText"/>
        <w:rPr>
          <w:rFonts w:cstheme="minorHAnsi"/>
        </w:rPr>
      </w:pPr>
      <w:r w:rsidRPr="0065125A">
        <w:rPr>
          <w:rStyle w:val="FootnoteReference"/>
          <w:rFonts w:cstheme="minorHAnsi"/>
        </w:rPr>
        <w:footnoteRef/>
      </w:r>
      <w:r w:rsidRPr="0065125A">
        <w:rPr>
          <w:rFonts w:cstheme="minorHAnsi"/>
        </w:rPr>
        <w:t xml:space="preserve"> </w:t>
      </w:r>
      <w:r w:rsidR="00A853E7" w:rsidRPr="0065125A">
        <w:rPr>
          <w:rFonts w:cstheme="minorHAnsi"/>
          <w:i/>
          <w:iCs/>
        </w:rPr>
        <w:t>CRTC Russia Today Decision</w:t>
      </w:r>
      <w:r w:rsidR="00A853E7" w:rsidRPr="0065125A">
        <w:rPr>
          <w:rFonts w:cstheme="minorHAnsi"/>
        </w:rPr>
        <w:t xml:space="preserve"> at para </w:t>
      </w:r>
      <w:r w:rsidR="001D1B4C" w:rsidRPr="0065125A">
        <w:rPr>
          <w:rFonts w:cstheme="minorHAnsi"/>
        </w:rPr>
        <w:t>65,</w:t>
      </w:r>
      <w:r w:rsidR="00A853E7" w:rsidRPr="0065125A">
        <w:rPr>
          <w:rFonts w:cstheme="minorHAnsi"/>
        </w:rPr>
        <w:t xml:space="preserve"> n 3.</w:t>
      </w:r>
    </w:p>
  </w:footnote>
  <w:footnote w:id="49">
    <w:p w14:paraId="22B1F272" w14:textId="652FCCAE" w:rsidR="005636AB" w:rsidRPr="0065125A" w:rsidRDefault="005636AB">
      <w:pPr>
        <w:pStyle w:val="FootnoteText"/>
        <w:rPr>
          <w:rFonts w:cstheme="minorHAnsi"/>
        </w:rPr>
      </w:pPr>
      <w:r w:rsidRPr="0065125A">
        <w:rPr>
          <w:rStyle w:val="FootnoteReference"/>
          <w:rFonts w:cstheme="minorHAnsi"/>
        </w:rPr>
        <w:footnoteRef/>
      </w:r>
      <w:r w:rsidRPr="0065125A">
        <w:rPr>
          <w:rFonts w:cstheme="minorHAnsi"/>
        </w:rPr>
        <w:t xml:space="preserve"> </w:t>
      </w:r>
      <w:r w:rsidR="00C5178B" w:rsidRPr="0065125A">
        <w:rPr>
          <w:rFonts w:cstheme="minorHAnsi"/>
          <w:i/>
          <w:iCs/>
        </w:rPr>
        <w:t>Bell Canada v Canada (Attorney General)</w:t>
      </w:r>
      <w:r w:rsidR="00C5178B" w:rsidRPr="0065125A">
        <w:rPr>
          <w:rFonts w:cstheme="minorHAnsi"/>
        </w:rPr>
        <w:t>, 2019 SCC 66</w:t>
      </w:r>
      <w:r w:rsidR="00643605" w:rsidRPr="0065125A">
        <w:rPr>
          <w:rFonts w:cstheme="minorHAnsi"/>
        </w:rPr>
        <w:t xml:space="preserve"> at para 34</w:t>
      </w:r>
      <w:r w:rsidRPr="0065125A">
        <w:rPr>
          <w:rFonts w:cstheme="minorHAnsi"/>
        </w:rPr>
        <w:t>.</w:t>
      </w:r>
    </w:p>
  </w:footnote>
  <w:footnote w:id="50">
    <w:p w14:paraId="7022B976" w14:textId="163CC35D" w:rsidR="00CC423B" w:rsidRPr="0065125A" w:rsidRDefault="00CC423B" w:rsidP="00455DBC">
      <w:pPr>
        <w:pStyle w:val="FootnoteText"/>
        <w:rPr>
          <w:rFonts w:cstheme="minorHAnsi"/>
        </w:rPr>
      </w:pPr>
      <w:r w:rsidRPr="0065125A">
        <w:rPr>
          <w:rStyle w:val="FootnoteReference"/>
          <w:rFonts w:cstheme="minorHAnsi"/>
        </w:rPr>
        <w:footnoteRef/>
      </w:r>
      <w:r w:rsidRPr="0065125A">
        <w:rPr>
          <w:rFonts w:cstheme="minorHAnsi"/>
        </w:rPr>
        <w:t xml:space="preserve"> </w:t>
      </w:r>
      <w:r w:rsidR="00DB7FDC" w:rsidRPr="0065125A">
        <w:rPr>
          <w:rFonts w:cstheme="minorHAnsi"/>
        </w:rPr>
        <w:t xml:space="preserve">In </w:t>
      </w:r>
      <w:proofErr w:type="spellStart"/>
      <w:r w:rsidR="00455DBC" w:rsidRPr="0065125A">
        <w:rPr>
          <w:rFonts w:cstheme="minorHAnsi"/>
          <w:i/>
          <w:iCs/>
        </w:rPr>
        <w:t>Genex</w:t>
      </w:r>
      <w:proofErr w:type="spellEnd"/>
      <w:r w:rsidR="00455DBC" w:rsidRPr="0065125A">
        <w:rPr>
          <w:rFonts w:cstheme="minorHAnsi"/>
          <w:i/>
          <w:iCs/>
        </w:rPr>
        <w:t xml:space="preserve"> Communications Inc. v. Canada (Attorney General),</w:t>
      </w:r>
      <w:r w:rsidR="00455DBC" w:rsidRPr="0065125A">
        <w:rPr>
          <w:rFonts w:cstheme="minorHAnsi"/>
        </w:rPr>
        <w:t xml:space="preserve"> [2005] FCJ No 1440</w:t>
      </w:r>
      <w:r w:rsidRPr="0065125A">
        <w:rPr>
          <w:rFonts w:cstheme="minorHAnsi"/>
        </w:rPr>
        <w:t xml:space="preserve"> </w:t>
      </w:r>
      <w:r w:rsidR="00DB7FDC" w:rsidRPr="0065125A">
        <w:rPr>
          <w:rFonts w:cstheme="minorHAnsi"/>
        </w:rPr>
        <w:t xml:space="preserve">the appellant </w:t>
      </w:r>
      <w:r w:rsidRPr="0065125A">
        <w:rPr>
          <w:rFonts w:cstheme="minorHAnsi"/>
        </w:rPr>
        <w:t xml:space="preserve">invites the Court to consider the constitutionality of the abusive comment </w:t>
      </w:r>
      <w:r w:rsidR="006E3330" w:rsidRPr="0065125A">
        <w:rPr>
          <w:rFonts w:cstheme="minorHAnsi"/>
        </w:rPr>
        <w:t>restriction in s3(1) of the Radio Regulations. However, the Court takes a more limited approach and only looks at the constitutionality of the particular CRTC decision that was appealed</w:t>
      </w:r>
      <w:r w:rsidR="00BB49B4" w:rsidRPr="0065125A">
        <w:rPr>
          <w:rFonts w:cstheme="minorHAnsi"/>
        </w:rPr>
        <w:t xml:space="preserve">. Judicial review of an administrative decision for </w:t>
      </w:r>
      <w:r w:rsidR="00617494" w:rsidRPr="0065125A">
        <w:rPr>
          <w:rFonts w:cstheme="minorHAnsi"/>
        </w:rPr>
        <w:t>compliance with the Charter</w:t>
      </w:r>
      <w:r w:rsidR="00BB49B4" w:rsidRPr="0065125A">
        <w:rPr>
          <w:rFonts w:cstheme="minorHAnsi"/>
        </w:rPr>
        <w:t xml:space="preserve"> attracts a standard of reasonableness</w:t>
      </w:r>
      <w:r w:rsidR="00617494" w:rsidRPr="0065125A">
        <w:rPr>
          <w:rFonts w:cstheme="minorHAnsi"/>
        </w:rPr>
        <w:t xml:space="preserve"> under the Dure framework, explained </w:t>
      </w:r>
      <w:r w:rsidR="00CF4C84" w:rsidRPr="0065125A">
        <w:rPr>
          <w:rFonts w:cstheme="minorHAnsi"/>
        </w:rPr>
        <w:t>later in this paper</w:t>
      </w:r>
      <w:r w:rsidR="006E3330" w:rsidRPr="0065125A">
        <w:rPr>
          <w:rFonts w:cstheme="minorHAnsi"/>
        </w:rPr>
        <w:t xml:space="preserve">. </w:t>
      </w:r>
      <w:r w:rsidR="001D6C01" w:rsidRPr="0065125A">
        <w:rPr>
          <w:rFonts w:cstheme="minorHAnsi"/>
        </w:rPr>
        <w:t xml:space="preserve">It is not clear whether the Vavilov </w:t>
      </w:r>
      <w:r w:rsidR="00BB49B4" w:rsidRPr="0065125A">
        <w:rPr>
          <w:rFonts w:cstheme="minorHAnsi"/>
        </w:rPr>
        <w:t xml:space="preserve">decision </w:t>
      </w:r>
      <w:r w:rsidR="00A708A6" w:rsidRPr="0065125A">
        <w:rPr>
          <w:rFonts w:cstheme="minorHAnsi"/>
        </w:rPr>
        <w:t>affects</w:t>
      </w:r>
      <w:r w:rsidR="00BB49B4" w:rsidRPr="0065125A">
        <w:rPr>
          <w:rFonts w:cstheme="minorHAnsi"/>
        </w:rPr>
        <w:t xml:space="preserve"> the standard of review where the appeal challenges not the validity of the statute that an administrative decision is based on, but only that of the administrative decision.</w:t>
      </w:r>
    </w:p>
  </w:footnote>
  <w:footnote w:id="51">
    <w:p w14:paraId="6B708767" w14:textId="2BE2D65B" w:rsidR="00642E6C" w:rsidRPr="0065125A" w:rsidRDefault="00642E6C">
      <w:pPr>
        <w:pStyle w:val="FootnoteText"/>
        <w:rPr>
          <w:rFonts w:cstheme="minorHAnsi"/>
        </w:rPr>
      </w:pPr>
      <w:r w:rsidRPr="0065125A">
        <w:rPr>
          <w:rStyle w:val="FootnoteReference"/>
          <w:rFonts w:cstheme="minorHAnsi"/>
        </w:rPr>
        <w:footnoteRef/>
      </w:r>
      <w:r w:rsidRPr="0065125A">
        <w:rPr>
          <w:rFonts w:cstheme="minorHAnsi"/>
        </w:rPr>
        <w:t xml:space="preserve"> Such as s 3(1)</w:t>
      </w:r>
      <w:r w:rsidR="00AB574B" w:rsidRPr="0065125A">
        <w:rPr>
          <w:rFonts w:cstheme="minorHAnsi"/>
        </w:rPr>
        <w:t>(b)</w:t>
      </w:r>
      <w:r w:rsidRPr="0065125A">
        <w:rPr>
          <w:rFonts w:cstheme="minorHAnsi"/>
        </w:rPr>
        <w:t xml:space="preserve"> of </w:t>
      </w:r>
      <w:r w:rsidRPr="0065125A">
        <w:rPr>
          <w:rFonts w:cstheme="minorHAnsi"/>
          <w:i/>
          <w:iCs/>
        </w:rPr>
        <w:t xml:space="preserve">Radio </w:t>
      </w:r>
      <w:r w:rsidR="00F352F2" w:rsidRPr="0065125A">
        <w:rPr>
          <w:rFonts w:cstheme="minorHAnsi"/>
          <w:i/>
          <w:iCs/>
        </w:rPr>
        <w:t>Regulations</w:t>
      </w:r>
      <w:r w:rsidR="007C5997" w:rsidRPr="0065125A">
        <w:rPr>
          <w:rFonts w:cstheme="minorHAnsi"/>
        </w:rPr>
        <w:t>, SOR/86-982.</w:t>
      </w:r>
    </w:p>
  </w:footnote>
  <w:footnote w:id="52">
    <w:p w14:paraId="08D923C3" w14:textId="04C8D3EB" w:rsidR="00DD473A" w:rsidRPr="0065125A" w:rsidRDefault="00DD473A">
      <w:pPr>
        <w:pStyle w:val="FootnoteText"/>
        <w:rPr>
          <w:rFonts w:cstheme="minorHAnsi"/>
        </w:rPr>
      </w:pPr>
      <w:r w:rsidRPr="0065125A">
        <w:rPr>
          <w:rStyle w:val="FootnoteReference"/>
          <w:rFonts w:cstheme="minorHAnsi"/>
        </w:rPr>
        <w:footnoteRef/>
      </w:r>
      <w:r w:rsidR="00F971AE" w:rsidRPr="0065125A">
        <w:rPr>
          <w:rFonts w:cstheme="minorHAnsi"/>
          <w:i/>
          <w:iCs/>
        </w:rPr>
        <w:t xml:space="preserve">R. v. </w:t>
      </w:r>
      <w:proofErr w:type="spellStart"/>
      <w:r w:rsidR="00F971AE" w:rsidRPr="0065125A">
        <w:rPr>
          <w:rFonts w:cstheme="minorHAnsi"/>
          <w:i/>
          <w:iCs/>
        </w:rPr>
        <w:t>Keegstra</w:t>
      </w:r>
      <w:proofErr w:type="spellEnd"/>
      <w:r w:rsidR="00F971AE" w:rsidRPr="0065125A">
        <w:rPr>
          <w:rFonts w:cstheme="minorHAnsi"/>
        </w:rPr>
        <w:t>, [1990] 3 S.C.R. 697 at</w:t>
      </w:r>
      <w:r w:rsidR="0021176C" w:rsidRPr="0065125A">
        <w:rPr>
          <w:rFonts w:cstheme="minorHAnsi"/>
        </w:rPr>
        <w:t xml:space="preserve"> </w:t>
      </w:r>
      <w:r w:rsidR="00F971AE" w:rsidRPr="0065125A">
        <w:rPr>
          <w:rFonts w:cstheme="minorHAnsi"/>
        </w:rPr>
        <w:t>p</w:t>
      </w:r>
      <w:r w:rsidRPr="0065125A">
        <w:rPr>
          <w:rFonts w:cstheme="minorHAnsi"/>
        </w:rPr>
        <w:t xml:space="preserve">aras 30 </w:t>
      </w:r>
      <w:r w:rsidR="0021176C" w:rsidRPr="0065125A">
        <w:rPr>
          <w:rFonts w:cstheme="minorHAnsi"/>
        </w:rPr>
        <w:t>–</w:t>
      </w:r>
      <w:r w:rsidRPr="0065125A">
        <w:rPr>
          <w:rFonts w:cstheme="minorHAnsi"/>
        </w:rPr>
        <w:t xml:space="preserve"> </w:t>
      </w:r>
      <w:r w:rsidR="0021176C" w:rsidRPr="0065125A">
        <w:rPr>
          <w:rFonts w:cstheme="minorHAnsi"/>
        </w:rPr>
        <w:t>38</w:t>
      </w:r>
      <w:r w:rsidR="00F971AE" w:rsidRPr="0065125A">
        <w:rPr>
          <w:rFonts w:cstheme="minorHAnsi"/>
        </w:rPr>
        <w:t xml:space="preserve"> [</w:t>
      </w:r>
      <w:proofErr w:type="spellStart"/>
      <w:r w:rsidR="00F971AE" w:rsidRPr="0065125A">
        <w:rPr>
          <w:rFonts w:cstheme="minorHAnsi"/>
        </w:rPr>
        <w:t>Keegstra</w:t>
      </w:r>
      <w:proofErr w:type="spellEnd"/>
      <w:r w:rsidR="00F971AE" w:rsidRPr="0065125A">
        <w:rPr>
          <w:rFonts w:cstheme="minorHAnsi"/>
        </w:rPr>
        <w:t>]</w:t>
      </w:r>
      <w:r w:rsidR="0021176C" w:rsidRPr="0065125A">
        <w:rPr>
          <w:rFonts w:cstheme="minorHAnsi"/>
        </w:rPr>
        <w:t>.</w:t>
      </w:r>
    </w:p>
  </w:footnote>
  <w:footnote w:id="53">
    <w:p w14:paraId="38EDF676" w14:textId="7459EF1D" w:rsidR="00114C00" w:rsidRPr="0065125A" w:rsidRDefault="00114C00">
      <w:pPr>
        <w:pStyle w:val="FootnoteText"/>
        <w:rPr>
          <w:rFonts w:cstheme="minorHAnsi"/>
        </w:rPr>
      </w:pPr>
      <w:r w:rsidRPr="0065125A">
        <w:rPr>
          <w:rStyle w:val="FootnoteReference"/>
          <w:rFonts w:cstheme="minorHAnsi"/>
        </w:rPr>
        <w:footnoteRef/>
      </w:r>
      <w:r w:rsidRPr="0065125A">
        <w:rPr>
          <w:rFonts w:cstheme="minorHAnsi"/>
        </w:rPr>
        <w:t xml:space="preserve"> </w:t>
      </w:r>
      <w:proofErr w:type="spellStart"/>
      <w:r w:rsidR="00971BD2" w:rsidRPr="0065125A">
        <w:rPr>
          <w:rFonts w:cstheme="minorHAnsi"/>
          <w:i/>
          <w:iCs/>
        </w:rPr>
        <w:t>Keegstra</w:t>
      </w:r>
      <w:proofErr w:type="spellEnd"/>
      <w:r w:rsidR="00971BD2" w:rsidRPr="0065125A">
        <w:rPr>
          <w:rFonts w:cstheme="minorHAnsi"/>
        </w:rPr>
        <w:t xml:space="preserve"> at para 81.</w:t>
      </w:r>
    </w:p>
  </w:footnote>
  <w:footnote w:id="54">
    <w:p w14:paraId="74B7416D" w14:textId="7CC63EE4" w:rsidR="001D37CC" w:rsidRPr="0065125A" w:rsidRDefault="001D37CC">
      <w:pPr>
        <w:pStyle w:val="FootnoteText"/>
        <w:rPr>
          <w:rFonts w:cstheme="minorHAnsi"/>
        </w:rPr>
      </w:pPr>
      <w:r w:rsidRPr="0065125A">
        <w:rPr>
          <w:rStyle w:val="FootnoteReference"/>
          <w:rFonts w:cstheme="minorHAnsi"/>
        </w:rPr>
        <w:footnoteRef/>
      </w:r>
      <w:r w:rsidRPr="0065125A">
        <w:rPr>
          <w:rFonts w:cstheme="minorHAnsi"/>
        </w:rPr>
        <w:t xml:space="preserve"> </w:t>
      </w:r>
      <w:r w:rsidR="006E24B1" w:rsidRPr="0065125A">
        <w:rPr>
          <w:rFonts w:cstheme="minorHAnsi"/>
          <w:i/>
          <w:iCs/>
        </w:rPr>
        <w:t xml:space="preserve">Ibid </w:t>
      </w:r>
      <w:r w:rsidR="006E24B1" w:rsidRPr="0065125A">
        <w:rPr>
          <w:rFonts w:cstheme="minorHAnsi"/>
        </w:rPr>
        <w:t>at paras</w:t>
      </w:r>
      <w:r w:rsidRPr="0065125A">
        <w:rPr>
          <w:rFonts w:cstheme="minorHAnsi"/>
        </w:rPr>
        <w:t xml:space="preserve"> 60 </w:t>
      </w:r>
      <w:r w:rsidR="006E24B1" w:rsidRPr="0065125A">
        <w:rPr>
          <w:rFonts w:cstheme="minorHAnsi"/>
        </w:rPr>
        <w:t>–</w:t>
      </w:r>
      <w:r w:rsidRPr="0065125A">
        <w:rPr>
          <w:rFonts w:cstheme="minorHAnsi"/>
        </w:rPr>
        <w:t xml:space="preserve"> 61</w:t>
      </w:r>
      <w:r w:rsidR="006E24B1" w:rsidRPr="0065125A">
        <w:rPr>
          <w:rFonts w:cstheme="minorHAnsi"/>
        </w:rPr>
        <w:t>.</w:t>
      </w:r>
    </w:p>
  </w:footnote>
  <w:footnote w:id="55">
    <w:p w14:paraId="2A9D1DF3" w14:textId="53097FB9" w:rsidR="00A1561C" w:rsidRPr="0065125A" w:rsidRDefault="00A1561C">
      <w:pPr>
        <w:pStyle w:val="FootnoteText"/>
        <w:rPr>
          <w:rFonts w:cstheme="minorHAnsi"/>
        </w:rPr>
      </w:pPr>
      <w:r w:rsidRPr="0065125A">
        <w:rPr>
          <w:rStyle w:val="FootnoteReference"/>
          <w:rFonts w:cstheme="minorHAnsi"/>
        </w:rPr>
        <w:footnoteRef/>
      </w:r>
      <w:r w:rsidRPr="0065125A">
        <w:rPr>
          <w:rFonts w:cstheme="minorHAnsi"/>
        </w:rPr>
        <w:t xml:space="preserve"> </w:t>
      </w:r>
      <w:proofErr w:type="spellStart"/>
      <w:r w:rsidRPr="0065125A">
        <w:rPr>
          <w:rFonts w:cstheme="minorHAnsi"/>
          <w:i/>
          <w:iCs/>
        </w:rPr>
        <w:t>Keegstra</w:t>
      </w:r>
      <w:proofErr w:type="spellEnd"/>
      <w:r w:rsidRPr="0065125A">
        <w:rPr>
          <w:rFonts w:cstheme="minorHAnsi"/>
        </w:rPr>
        <w:t xml:space="preserve"> </w:t>
      </w:r>
      <w:r w:rsidR="006E24B1" w:rsidRPr="0065125A">
        <w:rPr>
          <w:rFonts w:cstheme="minorHAnsi"/>
        </w:rPr>
        <w:t>at p</w:t>
      </w:r>
      <w:r w:rsidRPr="0065125A">
        <w:rPr>
          <w:rFonts w:cstheme="minorHAnsi"/>
        </w:rPr>
        <w:t>ara 62.</w:t>
      </w:r>
    </w:p>
  </w:footnote>
  <w:footnote w:id="56">
    <w:p w14:paraId="4D898350" w14:textId="36DB7E66" w:rsidR="008B59F4" w:rsidRPr="0065125A" w:rsidRDefault="008B59F4">
      <w:pPr>
        <w:pStyle w:val="FootnoteText"/>
        <w:rPr>
          <w:rFonts w:cstheme="minorHAnsi"/>
        </w:rPr>
      </w:pPr>
      <w:r w:rsidRPr="0065125A">
        <w:rPr>
          <w:rStyle w:val="FootnoteReference"/>
          <w:rFonts w:cstheme="minorHAnsi"/>
        </w:rPr>
        <w:footnoteRef/>
      </w:r>
      <w:r w:rsidRPr="0065125A">
        <w:rPr>
          <w:rFonts w:cstheme="minorHAnsi"/>
        </w:rPr>
        <w:t xml:space="preserve"> </w:t>
      </w:r>
      <w:r w:rsidR="006E24B1" w:rsidRPr="0065125A">
        <w:rPr>
          <w:rFonts w:cstheme="minorHAnsi"/>
          <w:i/>
          <w:iCs/>
        </w:rPr>
        <w:t>Ibid</w:t>
      </w:r>
      <w:r w:rsidR="006E24B1" w:rsidRPr="0065125A">
        <w:rPr>
          <w:rFonts w:cstheme="minorHAnsi"/>
        </w:rPr>
        <w:t xml:space="preserve"> at para </w:t>
      </w:r>
      <w:r w:rsidR="009D0F10" w:rsidRPr="0065125A">
        <w:rPr>
          <w:rFonts w:cstheme="minorHAnsi"/>
        </w:rPr>
        <w:t>61</w:t>
      </w:r>
      <w:r w:rsidR="006E24B1" w:rsidRPr="0065125A">
        <w:rPr>
          <w:rFonts w:cstheme="minorHAnsi"/>
        </w:rPr>
        <w:t>.</w:t>
      </w:r>
    </w:p>
  </w:footnote>
  <w:footnote w:id="57">
    <w:p w14:paraId="60A5AFF1" w14:textId="1D112C41" w:rsidR="004F6CD7" w:rsidRPr="0065125A" w:rsidRDefault="004F6CD7">
      <w:pPr>
        <w:pStyle w:val="FootnoteText"/>
        <w:rPr>
          <w:rFonts w:cstheme="minorHAnsi"/>
        </w:rPr>
      </w:pPr>
      <w:r w:rsidRPr="0065125A">
        <w:rPr>
          <w:rStyle w:val="FootnoteReference"/>
          <w:rFonts w:cstheme="minorHAnsi"/>
        </w:rPr>
        <w:footnoteRef/>
      </w:r>
      <w:r w:rsidRPr="0065125A">
        <w:rPr>
          <w:rFonts w:cstheme="minorHAnsi"/>
        </w:rPr>
        <w:t xml:space="preserve"> </w:t>
      </w:r>
      <w:r w:rsidR="00F35866" w:rsidRPr="0065125A">
        <w:rPr>
          <w:rFonts w:cstheme="minorHAnsi"/>
          <w:i/>
          <w:iCs/>
        </w:rPr>
        <w:t xml:space="preserve">Ibid </w:t>
      </w:r>
      <w:r w:rsidR="00F35866" w:rsidRPr="0065125A">
        <w:rPr>
          <w:rFonts w:cstheme="minorHAnsi"/>
        </w:rPr>
        <w:t xml:space="preserve">at </w:t>
      </w:r>
      <w:r w:rsidR="00852536" w:rsidRPr="0065125A">
        <w:rPr>
          <w:rFonts w:cstheme="minorHAnsi"/>
        </w:rPr>
        <w:t xml:space="preserve">62 </w:t>
      </w:r>
      <w:r w:rsidR="006E24B1" w:rsidRPr="0065125A">
        <w:rPr>
          <w:rFonts w:cstheme="minorHAnsi"/>
        </w:rPr>
        <w:t>–</w:t>
      </w:r>
      <w:r w:rsidR="00852536" w:rsidRPr="0065125A">
        <w:rPr>
          <w:rFonts w:cstheme="minorHAnsi"/>
        </w:rPr>
        <w:t xml:space="preserve"> 63</w:t>
      </w:r>
      <w:r w:rsidR="006E24B1" w:rsidRPr="0065125A">
        <w:rPr>
          <w:rFonts w:cstheme="minorHAnsi"/>
        </w:rPr>
        <w:t>.</w:t>
      </w:r>
    </w:p>
  </w:footnote>
  <w:footnote w:id="58">
    <w:p w14:paraId="0A5C849C" w14:textId="38D6B88D" w:rsidR="006B2CB7" w:rsidRPr="0065125A" w:rsidRDefault="006B2CB7">
      <w:pPr>
        <w:pStyle w:val="FootnoteText"/>
        <w:rPr>
          <w:rFonts w:cstheme="minorHAnsi"/>
        </w:rPr>
      </w:pPr>
      <w:r w:rsidRPr="0065125A">
        <w:rPr>
          <w:rStyle w:val="FootnoteReference"/>
          <w:rFonts w:cstheme="minorHAnsi"/>
        </w:rPr>
        <w:footnoteRef/>
      </w:r>
      <w:r w:rsidRPr="0065125A">
        <w:rPr>
          <w:rFonts w:cstheme="minorHAnsi"/>
        </w:rPr>
        <w:t xml:space="preserve"> </w:t>
      </w:r>
      <w:proofErr w:type="spellStart"/>
      <w:r w:rsidRPr="0065125A">
        <w:rPr>
          <w:rFonts w:cstheme="minorHAnsi"/>
          <w:i/>
          <w:iCs/>
        </w:rPr>
        <w:t>Keegstra</w:t>
      </w:r>
      <w:proofErr w:type="spellEnd"/>
      <w:r w:rsidRPr="0065125A">
        <w:rPr>
          <w:rFonts w:cstheme="minorHAnsi"/>
          <w:i/>
          <w:iCs/>
        </w:rPr>
        <w:t xml:space="preserve"> </w:t>
      </w:r>
      <w:r w:rsidR="00F35866" w:rsidRPr="0065125A">
        <w:rPr>
          <w:rFonts w:cstheme="minorHAnsi"/>
        </w:rPr>
        <w:t xml:space="preserve">at </w:t>
      </w:r>
      <w:r w:rsidRPr="0065125A">
        <w:rPr>
          <w:rFonts w:cstheme="minorHAnsi"/>
        </w:rPr>
        <w:t>para 66</w:t>
      </w:r>
      <w:r w:rsidR="00F35866" w:rsidRPr="0065125A">
        <w:rPr>
          <w:rFonts w:cstheme="minorHAnsi"/>
        </w:rPr>
        <w:t>,</w:t>
      </w:r>
      <w:r w:rsidRPr="0065125A">
        <w:rPr>
          <w:rFonts w:cstheme="minorHAnsi"/>
        </w:rPr>
        <w:t xml:space="preserve"> citing </w:t>
      </w:r>
      <w:proofErr w:type="spellStart"/>
      <w:r w:rsidRPr="0065125A">
        <w:rPr>
          <w:rFonts w:cstheme="minorHAnsi"/>
          <w:i/>
          <w:iCs/>
        </w:rPr>
        <w:t>Slaight</w:t>
      </w:r>
      <w:proofErr w:type="spellEnd"/>
      <w:r w:rsidRPr="0065125A">
        <w:rPr>
          <w:rFonts w:cstheme="minorHAnsi"/>
          <w:i/>
          <w:iCs/>
        </w:rPr>
        <w:t xml:space="preserve"> Communications</w:t>
      </w:r>
      <w:r w:rsidR="00C8031B" w:rsidRPr="0065125A">
        <w:rPr>
          <w:rFonts w:cstheme="minorHAnsi"/>
          <w:i/>
          <w:iCs/>
        </w:rPr>
        <w:t xml:space="preserve"> Inc. v Davidson</w:t>
      </w:r>
      <w:r w:rsidR="00C8031B" w:rsidRPr="0065125A">
        <w:rPr>
          <w:rFonts w:cstheme="minorHAnsi"/>
        </w:rPr>
        <w:t>, [1989] 1 SCR 1038.</w:t>
      </w:r>
    </w:p>
  </w:footnote>
  <w:footnote w:id="59">
    <w:p w14:paraId="2DF96C3A" w14:textId="5E543608" w:rsidR="00844E4F" w:rsidRPr="0065125A" w:rsidRDefault="00844E4F">
      <w:pPr>
        <w:pStyle w:val="FootnoteText"/>
        <w:rPr>
          <w:rFonts w:cstheme="minorHAnsi"/>
        </w:rPr>
      </w:pPr>
      <w:r w:rsidRPr="0065125A">
        <w:rPr>
          <w:rStyle w:val="FootnoteReference"/>
          <w:rFonts w:cstheme="minorHAnsi"/>
        </w:rPr>
        <w:footnoteRef/>
      </w:r>
      <w:r w:rsidRPr="0065125A">
        <w:rPr>
          <w:rFonts w:cstheme="minorHAnsi"/>
        </w:rPr>
        <w:t xml:space="preserve"> </w:t>
      </w:r>
      <w:proofErr w:type="spellStart"/>
      <w:r w:rsidR="003F2962" w:rsidRPr="0065125A">
        <w:rPr>
          <w:rFonts w:cstheme="minorHAnsi"/>
          <w:i/>
          <w:iCs/>
        </w:rPr>
        <w:t>Keegstra</w:t>
      </w:r>
      <w:proofErr w:type="spellEnd"/>
      <w:r w:rsidR="003F2962" w:rsidRPr="0065125A">
        <w:rPr>
          <w:rFonts w:cstheme="minorHAnsi"/>
          <w:i/>
          <w:iCs/>
        </w:rPr>
        <w:t xml:space="preserve"> </w:t>
      </w:r>
      <w:r w:rsidR="003F2962" w:rsidRPr="0065125A">
        <w:rPr>
          <w:rFonts w:cstheme="minorHAnsi"/>
        </w:rPr>
        <w:t xml:space="preserve">at paras </w:t>
      </w:r>
      <w:r w:rsidR="00661573" w:rsidRPr="0065125A">
        <w:rPr>
          <w:rFonts w:cstheme="minorHAnsi"/>
        </w:rPr>
        <w:t xml:space="preserve">68 </w:t>
      </w:r>
      <w:r w:rsidR="003F2962" w:rsidRPr="0065125A">
        <w:rPr>
          <w:rFonts w:cstheme="minorHAnsi"/>
        </w:rPr>
        <w:t xml:space="preserve">– </w:t>
      </w:r>
      <w:r w:rsidR="00661573" w:rsidRPr="0065125A">
        <w:rPr>
          <w:rFonts w:cstheme="minorHAnsi"/>
        </w:rPr>
        <w:t>69</w:t>
      </w:r>
      <w:r w:rsidR="003F2962" w:rsidRPr="0065125A">
        <w:rPr>
          <w:rFonts w:cstheme="minorHAnsi"/>
        </w:rPr>
        <w:t>.</w:t>
      </w:r>
    </w:p>
  </w:footnote>
  <w:footnote w:id="60">
    <w:p w14:paraId="303076DA" w14:textId="660B3673" w:rsidR="00844E4F" w:rsidRPr="0065125A" w:rsidRDefault="00844E4F">
      <w:pPr>
        <w:pStyle w:val="FootnoteText"/>
        <w:rPr>
          <w:rFonts w:cstheme="minorHAnsi"/>
        </w:rPr>
      </w:pPr>
      <w:r w:rsidRPr="0065125A">
        <w:rPr>
          <w:rStyle w:val="FootnoteReference"/>
          <w:rFonts w:cstheme="minorHAnsi"/>
        </w:rPr>
        <w:footnoteRef/>
      </w:r>
      <w:r w:rsidRPr="0065125A">
        <w:rPr>
          <w:rFonts w:cstheme="minorHAnsi"/>
        </w:rPr>
        <w:t xml:space="preserve"> </w:t>
      </w:r>
      <w:r w:rsidR="00546A16" w:rsidRPr="0065125A">
        <w:rPr>
          <w:rFonts w:cstheme="minorHAnsi"/>
          <w:i/>
          <w:iCs/>
        </w:rPr>
        <w:t xml:space="preserve">Ibid </w:t>
      </w:r>
      <w:r w:rsidR="00546A16" w:rsidRPr="0065125A">
        <w:rPr>
          <w:rFonts w:cstheme="minorHAnsi"/>
        </w:rPr>
        <w:t xml:space="preserve">at </w:t>
      </w:r>
      <w:r w:rsidRPr="0065125A">
        <w:rPr>
          <w:rFonts w:cstheme="minorHAnsi"/>
        </w:rPr>
        <w:t>72</w:t>
      </w:r>
      <w:r w:rsidR="00546A16" w:rsidRPr="0065125A">
        <w:rPr>
          <w:rFonts w:cstheme="minorHAnsi"/>
        </w:rPr>
        <w:t>.</w:t>
      </w:r>
    </w:p>
  </w:footnote>
  <w:footnote w:id="61">
    <w:p w14:paraId="0F869191" w14:textId="6666CD96" w:rsidR="00883008" w:rsidRPr="0065125A" w:rsidRDefault="00883008">
      <w:pPr>
        <w:pStyle w:val="FootnoteText"/>
        <w:rPr>
          <w:rFonts w:cstheme="minorHAnsi"/>
        </w:rPr>
      </w:pPr>
      <w:r w:rsidRPr="0065125A">
        <w:rPr>
          <w:rStyle w:val="FootnoteReference"/>
          <w:rFonts w:cstheme="minorHAnsi"/>
        </w:rPr>
        <w:footnoteRef/>
      </w:r>
      <w:r w:rsidRPr="0065125A">
        <w:rPr>
          <w:rFonts w:cstheme="minorHAnsi"/>
        </w:rPr>
        <w:t xml:space="preserve"> </w:t>
      </w:r>
      <w:r w:rsidR="00546A16" w:rsidRPr="0065125A">
        <w:rPr>
          <w:rFonts w:cstheme="minorHAnsi"/>
          <w:i/>
          <w:iCs/>
        </w:rPr>
        <w:t xml:space="preserve">Ibid </w:t>
      </w:r>
      <w:r w:rsidR="00546A16" w:rsidRPr="0065125A">
        <w:rPr>
          <w:rFonts w:cstheme="minorHAnsi"/>
        </w:rPr>
        <w:t>at</w:t>
      </w:r>
      <w:r w:rsidR="00AD0E63" w:rsidRPr="0065125A">
        <w:rPr>
          <w:rFonts w:cstheme="minorHAnsi"/>
        </w:rPr>
        <w:t xml:space="preserve"> 81.</w:t>
      </w:r>
    </w:p>
  </w:footnote>
  <w:footnote w:id="62">
    <w:p w14:paraId="5A6AE46C" w14:textId="45B52FBC" w:rsidR="00883008" w:rsidRPr="0065125A" w:rsidRDefault="00883008">
      <w:pPr>
        <w:pStyle w:val="FootnoteText"/>
        <w:rPr>
          <w:rFonts w:cstheme="minorHAnsi"/>
        </w:rPr>
      </w:pPr>
      <w:r w:rsidRPr="0065125A">
        <w:rPr>
          <w:rStyle w:val="FootnoteReference"/>
          <w:rFonts w:cstheme="minorHAnsi"/>
        </w:rPr>
        <w:footnoteRef/>
      </w:r>
      <w:r w:rsidRPr="0065125A">
        <w:rPr>
          <w:rFonts w:cstheme="minorHAnsi"/>
        </w:rPr>
        <w:t xml:space="preserve"> </w:t>
      </w:r>
      <w:r w:rsidR="005F7D41" w:rsidRPr="0065125A">
        <w:rPr>
          <w:rFonts w:cstheme="minorHAnsi"/>
        </w:rPr>
        <w:t>Dylan J. Williams, “If you do</w:t>
      </w:r>
      <w:r w:rsidR="00187BD9" w:rsidRPr="0065125A">
        <w:rPr>
          <w:rFonts w:cstheme="minorHAnsi"/>
        </w:rPr>
        <w:t xml:space="preserve"> not have anything nice to say: Charter Issues with the offence of defamatory libel (section 301)” (2020)</w:t>
      </w:r>
      <w:r w:rsidR="00B26191" w:rsidRPr="0065125A">
        <w:rPr>
          <w:rFonts w:cstheme="minorHAnsi"/>
        </w:rPr>
        <w:t xml:space="preserve"> </w:t>
      </w:r>
      <w:r w:rsidR="00A20869" w:rsidRPr="0065125A">
        <w:rPr>
          <w:rFonts w:cstheme="minorHAnsi"/>
        </w:rPr>
        <w:t>43</w:t>
      </w:r>
      <w:r w:rsidR="00537C63" w:rsidRPr="0065125A">
        <w:rPr>
          <w:rFonts w:cstheme="minorHAnsi"/>
        </w:rPr>
        <w:t>:4 Man LJ 197.</w:t>
      </w:r>
    </w:p>
  </w:footnote>
  <w:footnote w:id="63">
    <w:p w14:paraId="439941E0" w14:textId="76FD1420" w:rsidR="00B06B8E" w:rsidRPr="0065125A" w:rsidRDefault="00B06B8E">
      <w:pPr>
        <w:pStyle w:val="FootnoteText"/>
        <w:rPr>
          <w:rFonts w:cstheme="minorHAnsi"/>
        </w:rPr>
      </w:pPr>
      <w:r w:rsidRPr="0065125A">
        <w:rPr>
          <w:rStyle w:val="FootnoteReference"/>
          <w:rFonts w:cstheme="minorHAnsi"/>
        </w:rPr>
        <w:footnoteRef/>
      </w:r>
      <w:r w:rsidRPr="0065125A">
        <w:rPr>
          <w:rFonts w:cstheme="minorHAnsi"/>
        </w:rPr>
        <w:t xml:space="preserve"> </w:t>
      </w:r>
      <w:r w:rsidRPr="0065125A">
        <w:rPr>
          <w:rFonts w:cstheme="minorHAnsi"/>
          <w:i/>
          <w:iCs/>
        </w:rPr>
        <w:t>Ibid</w:t>
      </w:r>
      <w:r w:rsidRPr="0065125A">
        <w:rPr>
          <w:rFonts w:cstheme="minorHAnsi"/>
        </w:rPr>
        <w:t>.</w:t>
      </w:r>
    </w:p>
  </w:footnote>
  <w:footnote w:id="64">
    <w:p w14:paraId="618CB147" w14:textId="2B229A2B" w:rsidR="00F11070" w:rsidRPr="0065125A" w:rsidRDefault="00F11070">
      <w:pPr>
        <w:pStyle w:val="FootnoteText"/>
        <w:rPr>
          <w:rFonts w:cstheme="minorHAnsi"/>
        </w:rPr>
      </w:pPr>
      <w:r w:rsidRPr="0065125A">
        <w:rPr>
          <w:rStyle w:val="FootnoteReference"/>
          <w:rFonts w:cstheme="minorHAnsi"/>
        </w:rPr>
        <w:footnoteRef/>
      </w:r>
      <w:r w:rsidRPr="0065125A">
        <w:rPr>
          <w:rFonts w:cstheme="minorHAnsi"/>
        </w:rPr>
        <w:t xml:space="preserve"> </w:t>
      </w:r>
      <w:r w:rsidR="007D530B" w:rsidRPr="0065125A">
        <w:rPr>
          <w:rFonts w:cstheme="minorHAnsi"/>
          <w:i/>
          <w:iCs/>
        </w:rPr>
        <w:t xml:space="preserve">Ibid </w:t>
      </w:r>
      <w:r w:rsidR="007D530B" w:rsidRPr="0065125A">
        <w:rPr>
          <w:rFonts w:cstheme="minorHAnsi"/>
        </w:rPr>
        <w:t>at</w:t>
      </w:r>
      <w:r w:rsidRPr="0065125A">
        <w:rPr>
          <w:rFonts w:cstheme="minorHAnsi"/>
        </w:rPr>
        <w:t xml:space="preserve"> 202</w:t>
      </w:r>
      <w:r w:rsidR="007D530B" w:rsidRPr="0065125A">
        <w:rPr>
          <w:rFonts w:cstheme="minorHAnsi"/>
        </w:rPr>
        <w:t>.</w:t>
      </w:r>
    </w:p>
  </w:footnote>
  <w:footnote w:id="65">
    <w:p w14:paraId="120355BE" w14:textId="53705DF2" w:rsidR="00BB4C72" w:rsidRPr="0065125A" w:rsidRDefault="00BB4C72">
      <w:pPr>
        <w:pStyle w:val="FootnoteText"/>
        <w:rPr>
          <w:rFonts w:cstheme="minorHAnsi"/>
        </w:rPr>
      </w:pPr>
      <w:r w:rsidRPr="0065125A">
        <w:rPr>
          <w:rStyle w:val="FootnoteReference"/>
          <w:rFonts w:cstheme="minorHAnsi"/>
        </w:rPr>
        <w:footnoteRef/>
      </w:r>
      <w:r w:rsidRPr="0065125A">
        <w:rPr>
          <w:rFonts w:cstheme="minorHAnsi"/>
        </w:rPr>
        <w:t xml:space="preserve"> </w:t>
      </w:r>
      <w:proofErr w:type="spellStart"/>
      <w:r w:rsidRPr="0065125A">
        <w:rPr>
          <w:rFonts w:cstheme="minorHAnsi"/>
          <w:i/>
          <w:iCs/>
        </w:rPr>
        <w:t>Keegstra</w:t>
      </w:r>
      <w:proofErr w:type="spellEnd"/>
      <w:r w:rsidR="00D0173E" w:rsidRPr="0065125A">
        <w:rPr>
          <w:rFonts w:cstheme="minorHAnsi"/>
        </w:rPr>
        <w:t xml:space="preserve"> at</w:t>
      </w:r>
      <w:r w:rsidRPr="0065125A">
        <w:rPr>
          <w:rFonts w:cstheme="minorHAnsi"/>
        </w:rPr>
        <w:t xml:space="preserve"> 87</w:t>
      </w:r>
      <w:r w:rsidR="00D0173E" w:rsidRPr="0065125A">
        <w:rPr>
          <w:rFonts w:cstheme="minorHAnsi"/>
        </w:rPr>
        <w:t>.</w:t>
      </w:r>
    </w:p>
  </w:footnote>
  <w:footnote w:id="66">
    <w:p w14:paraId="39C9B2AA" w14:textId="0A2E8A04" w:rsidR="00A357C5" w:rsidRPr="0065125A" w:rsidRDefault="00A357C5">
      <w:pPr>
        <w:pStyle w:val="FootnoteText"/>
        <w:rPr>
          <w:rFonts w:cstheme="minorHAnsi"/>
        </w:rPr>
      </w:pPr>
      <w:r w:rsidRPr="0065125A">
        <w:rPr>
          <w:rStyle w:val="FootnoteReference"/>
          <w:rFonts w:cstheme="minorHAnsi"/>
        </w:rPr>
        <w:footnoteRef/>
      </w:r>
      <w:r w:rsidRPr="0065125A">
        <w:rPr>
          <w:rFonts w:cstheme="minorHAnsi"/>
        </w:rPr>
        <w:t xml:space="preserve"> </w:t>
      </w:r>
      <w:r w:rsidR="00D0173E" w:rsidRPr="0065125A">
        <w:rPr>
          <w:rFonts w:cstheme="minorHAnsi"/>
          <w:i/>
          <w:iCs/>
        </w:rPr>
        <w:t xml:space="preserve">Ibid </w:t>
      </w:r>
      <w:r w:rsidR="00D0173E" w:rsidRPr="0065125A">
        <w:rPr>
          <w:rFonts w:cstheme="minorHAnsi"/>
        </w:rPr>
        <w:t xml:space="preserve">at </w:t>
      </w:r>
      <w:r w:rsidRPr="0065125A">
        <w:rPr>
          <w:rFonts w:cstheme="minorHAnsi"/>
        </w:rPr>
        <w:t>88</w:t>
      </w:r>
      <w:r w:rsidR="00D0173E" w:rsidRPr="0065125A">
        <w:rPr>
          <w:rFonts w:cstheme="minorHAnsi"/>
        </w:rPr>
        <w:t>.</w:t>
      </w:r>
    </w:p>
  </w:footnote>
  <w:footnote w:id="67">
    <w:p w14:paraId="265905D4" w14:textId="37A29EAE" w:rsidR="00A357C5" w:rsidRPr="0065125A" w:rsidRDefault="00A357C5">
      <w:pPr>
        <w:pStyle w:val="FootnoteText"/>
        <w:rPr>
          <w:rFonts w:cstheme="minorHAnsi"/>
        </w:rPr>
      </w:pPr>
      <w:r w:rsidRPr="0065125A">
        <w:rPr>
          <w:rStyle w:val="FootnoteReference"/>
          <w:rFonts w:cstheme="minorHAnsi"/>
        </w:rPr>
        <w:footnoteRef/>
      </w:r>
      <w:r w:rsidRPr="0065125A">
        <w:rPr>
          <w:rFonts w:cstheme="minorHAnsi"/>
        </w:rPr>
        <w:t xml:space="preserve"> </w:t>
      </w:r>
      <w:r w:rsidR="00D0173E" w:rsidRPr="0065125A">
        <w:rPr>
          <w:rFonts w:cstheme="minorHAnsi"/>
          <w:i/>
          <w:iCs/>
        </w:rPr>
        <w:t xml:space="preserve">Ibid </w:t>
      </w:r>
      <w:r w:rsidR="00D0173E" w:rsidRPr="0065125A">
        <w:rPr>
          <w:rFonts w:cstheme="minorHAnsi"/>
        </w:rPr>
        <w:t xml:space="preserve">at </w:t>
      </w:r>
      <w:r w:rsidR="00AE3FAF" w:rsidRPr="0065125A">
        <w:rPr>
          <w:rFonts w:cstheme="minorHAnsi"/>
        </w:rPr>
        <w:t>89</w:t>
      </w:r>
      <w:r w:rsidR="00D0173E" w:rsidRPr="0065125A">
        <w:rPr>
          <w:rFonts w:cstheme="minorHAnsi"/>
        </w:rPr>
        <w:t>.</w:t>
      </w:r>
    </w:p>
  </w:footnote>
  <w:footnote w:id="68">
    <w:p w14:paraId="0ECC4501" w14:textId="5B4DF294" w:rsidR="00030C31" w:rsidRPr="0065125A" w:rsidRDefault="00030C31">
      <w:pPr>
        <w:pStyle w:val="FootnoteText"/>
        <w:rPr>
          <w:rFonts w:cstheme="minorHAnsi"/>
        </w:rPr>
      </w:pPr>
      <w:r w:rsidRPr="0065125A">
        <w:rPr>
          <w:rStyle w:val="FootnoteReference"/>
          <w:rFonts w:cstheme="minorHAnsi"/>
        </w:rPr>
        <w:footnoteRef/>
      </w:r>
      <w:r w:rsidRPr="0065125A">
        <w:rPr>
          <w:rFonts w:cstheme="minorHAnsi"/>
        </w:rPr>
        <w:t xml:space="preserve"> </w:t>
      </w:r>
      <w:r w:rsidR="00D0173E" w:rsidRPr="0065125A">
        <w:rPr>
          <w:rFonts w:cstheme="minorHAnsi"/>
          <w:i/>
          <w:iCs/>
        </w:rPr>
        <w:t xml:space="preserve">Ibid </w:t>
      </w:r>
      <w:r w:rsidR="00D0173E" w:rsidRPr="0065125A">
        <w:rPr>
          <w:rFonts w:cstheme="minorHAnsi"/>
        </w:rPr>
        <w:t xml:space="preserve">at </w:t>
      </w:r>
      <w:r w:rsidRPr="0065125A">
        <w:rPr>
          <w:rFonts w:cstheme="minorHAnsi"/>
        </w:rPr>
        <w:t>90</w:t>
      </w:r>
      <w:r w:rsidR="00D0173E" w:rsidRPr="0065125A">
        <w:rPr>
          <w:rFonts w:cstheme="minorHAnsi"/>
        </w:rPr>
        <w:t>.</w:t>
      </w:r>
    </w:p>
  </w:footnote>
  <w:footnote w:id="69">
    <w:p w14:paraId="20C8BEA9" w14:textId="76DDF549" w:rsidR="00124D15" w:rsidRPr="0065125A" w:rsidRDefault="00124D15">
      <w:pPr>
        <w:pStyle w:val="FootnoteText"/>
        <w:rPr>
          <w:rFonts w:cstheme="minorHAnsi"/>
        </w:rPr>
      </w:pPr>
      <w:r w:rsidRPr="0065125A">
        <w:rPr>
          <w:rStyle w:val="FootnoteReference"/>
          <w:rFonts w:cstheme="minorHAnsi"/>
        </w:rPr>
        <w:footnoteRef/>
      </w:r>
      <w:r w:rsidRPr="0065125A">
        <w:rPr>
          <w:rFonts w:cstheme="minorHAnsi"/>
        </w:rPr>
        <w:t xml:space="preserve"> </w:t>
      </w:r>
      <w:r w:rsidR="00D0173E" w:rsidRPr="0065125A">
        <w:rPr>
          <w:rFonts w:cstheme="minorHAnsi"/>
          <w:i/>
          <w:iCs/>
        </w:rPr>
        <w:t xml:space="preserve">Ibid </w:t>
      </w:r>
      <w:r w:rsidR="00D0173E" w:rsidRPr="0065125A">
        <w:rPr>
          <w:rFonts w:cstheme="minorHAnsi"/>
        </w:rPr>
        <w:t xml:space="preserve">at </w:t>
      </w:r>
      <w:r w:rsidRPr="0065125A">
        <w:rPr>
          <w:rFonts w:cstheme="minorHAnsi"/>
        </w:rPr>
        <w:t>90</w:t>
      </w:r>
      <w:r w:rsidR="00D0173E" w:rsidRPr="0065125A">
        <w:rPr>
          <w:rFonts w:cstheme="minorHAnsi"/>
        </w:rPr>
        <w:t>.</w:t>
      </w:r>
    </w:p>
  </w:footnote>
  <w:footnote w:id="70">
    <w:p w14:paraId="444D3AF3" w14:textId="6C1454A9" w:rsidR="00124D15" w:rsidRPr="0065125A" w:rsidRDefault="00124D15" w:rsidP="00C27CB9">
      <w:pPr>
        <w:pStyle w:val="FootnoteText"/>
        <w:rPr>
          <w:rFonts w:cstheme="minorHAnsi"/>
        </w:rPr>
      </w:pPr>
      <w:r w:rsidRPr="0065125A">
        <w:rPr>
          <w:rStyle w:val="FootnoteReference"/>
          <w:rFonts w:cstheme="minorHAnsi"/>
        </w:rPr>
        <w:footnoteRef/>
      </w:r>
      <w:r w:rsidRPr="0065125A">
        <w:rPr>
          <w:rFonts w:cstheme="minorHAnsi"/>
        </w:rPr>
        <w:t xml:space="preserve"> </w:t>
      </w:r>
      <w:r w:rsidR="00D0173E" w:rsidRPr="0065125A">
        <w:rPr>
          <w:rFonts w:cstheme="minorHAnsi"/>
          <w:i/>
          <w:iCs/>
        </w:rPr>
        <w:t xml:space="preserve">Ibid </w:t>
      </w:r>
      <w:r w:rsidR="00D0173E" w:rsidRPr="0065125A">
        <w:rPr>
          <w:rFonts w:cstheme="minorHAnsi"/>
        </w:rPr>
        <w:t xml:space="preserve">at </w:t>
      </w:r>
      <w:r w:rsidRPr="0065125A">
        <w:rPr>
          <w:rFonts w:cstheme="minorHAnsi"/>
        </w:rPr>
        <w:t>94, citing</w:t>
      </w:r>
      <w:r w:rsidR="00C27CB9" w:rsidRPr="0065125A">
        <w:rPr>
          <w:rFonts w:cstheme="minorHAnsi"/>
        </w:rPr>
        <w:t xml:space="preserve"> </w:t>
      </w:r>
      <w:r w:rsidR="00C27CB9" w:rsidRPr="0065125A">
        <w:rPr>
          <w:rFonts w:cstheme="minorHAnsi"/>
          <w:i/>
          <w:iCs/>
        </w:rPr>
        <w:t>Rocket v. Royal College of Dental Surgeons of Ontario</w:t>
      </w:r>
      <w:r w:rsidR="00C27CB9" w:rsidRPr="0065125A">
        <w:rPr>
          <w:rFonts w:cstheme="minorHAnsi"/>
        </w:rPr>
        <w:t>, [1990] 2 S.C.R. 232</w:t>
      </w:r>
      <w:r w:rsidRPr="0065125A">
        <w:rPr>
          <w:rFonts w:cstheme="minorHAnsi"/>
        </w:rPr>
        <w:t>.</w:t>
      </w:r>
    </w:p>
  </w:footnote>
  <w:footnote w:id="71">
    <w:p w14:paraId="4169724D" w14:textId="201D631B" w:rsidR="00A7746F" w:rsidRPr="0065125A" w:rsidRDefault="00A7746F" w:rsidP="00A7746F">
      <w:pPr>
        <w:pStyle w:val="FootnoteText"/>
        <w:rPr>
          <w:rFonts w:cstheme="minorHAnsi"/>
        </w:rPr>
      </w:pPr>
      <w:r w:rsidRPr="0065125A">
        <w:rPr>
          <w:rStyle w:val="FootnoteReference"/>
          <w:rFonts w:cstheme="minorHAnsi"/>
        </w:rPr>
        <w:footnoteRef/>
      </w:r>
      <w:r w:rsidRPr="0065125A">
        <w:rPr>
          <w:rFonts w:cstheme="minorHAnsi"/>
        </w:rPr>
        <w:t xml:space="preserve"> </w:t>
      </w:r>
      <w:proofErr w:type="spellStart"/>
      <w:r w:rsidRPr="0065125A">
        <w:rPr>
          <w:rFonts w:cstheme="minorHAnsi"/>
          <w:i/>
          <w:iCs/>
        </w:rPr>
        <w:t>Keegstra</w:t>
      </w:r>
      <w:proofErr w:type="spellEnd"/>
      <w:r w:rsidR="008E3C98" w:rsidRPr="0065125A">
        <w:rPr>
          <w:rFonts w:cstheme="minorHAnsi"/>
        </w:rPr>
        <w:t xml:space="preserve"> at</w:t>
      </w:r>
      <w:r w:rsidRPr="0065125A">
        <w:rPr>
          <w:rFonts w:cstheme="minorHAnsi"/>
        </w:rPr>
        <w:t xml:space="preserve"> 97 – 103.</w:t>
      </w:r>
    </w:p>
  </w:footnote>
  <w:footnote w:id="72">
    <w:p w14:paraId="64AE3665" w14:textId="3EF2BA02" w:rsidR="00995ED1" w:rsidRPr="0065125A" w:rsidRDefault="00995ED1">
      <w:pPr>
        <w:pStyle w:val="FootnoteText"/>
        <w:rPr>
          <w:rFonts w:cstheme="minorHAnsi"/>
        </w:rPr>
      </w:pPr>
      <w:r w:rsidRPr="0065125A">
        <w:rPr>
          <w:rStyle w:val="FootnoteReference"/>
          <w:rFonts w:cstheme="minorHAnsi"/>
        </w:rPr>
        <w:footnoteRef/>
      </w:r>
      <w:r w:rsidRPr="0065125A">
        <w:rPr>
          <w:rFonts w:cstheme="minorHAnsi"/>
        </w:rPr>
        <w:t xml:space="preserve"> </w:t>
      </w:r>
      <w:r w:rsidR="008E3C98" w:rsidRPr="0065125A">
        <w:rPr>
          <w:rFonts w:cstheme="minorHAnsi"/>
          <w:i/>
          <w:iCs/>
        </w:rPr>
        <w:t xml:space="preserve">Ibid </w:t>
      </w:r>
      <w:r w:rsidR="008E3C98" w:rsidRPr="0065125A">
        <w:rPr>
          <w:rFonts w:cstheme="minorHAnsi"/>
        </w:rPr>
        <w:t xml:space="preserve">at </w:t>
      </w:r>
      <w:proofErr w:type="gramStart"/>
      <w:r w:rsidRPr="0065125A">
        <w:rPr>
          <w:rFonts w:cstheme="minorHAnsi"/>
        </w:rPr>
        <w:t xml:space="preserve">130 </w:t>
      </w:r>
      <w:r w:rsidR="008E3C98" w:rsidRPr="0065125A">
        <w:rPr>
          <w:rFonts w:cstheme="minorHAnsi"/>
        </w:rPr>
        <w:t>.</w:t>
      </w:r>
      <w:proofErr w:type="gramEnd"/>
    </w:p>
  </w:footnote>
  <w:footnote w:id="73">
    <w:p w14:paraId="309EE6CD" w14:textId="57144BB6" w:rsidR="00737A91" w:rsidRPr="0065125A" w:rsidRDefault="00737A91">
      <w:pPr>
        <w:pStyle w:val="FootnoteText"/>
        <w:rPr>
          <w:rFonts w:cstheme="minorHAnsi"/>
        </w:rPr>
      </w:pPr>
      <w:r w:rsidRPr="0065125A">
        <w:rPr>
          <w:rStyle w:val="FootnoteReference"/>
          <w:rFonts w:cstheme="minorHAnsi"/>
        </w:rPr>
        <w:footnoteRef/>
      </w:r>
      <w:r w:rsidRPr="0065125A">
        <w:rPr>
          <w:rFonts w:cstheme="minorHAnsi"/>
        </w:rPr>
        <w:t xml:space="preserve"> </w:t>
      </w:r>
      <w:proofErr w:type="spellStart"/>
      <w:r w:rsidRPr="0065125A">
        <w:rPr>
          <w:rFonts w:cstheme="minorHAnsi"/>
          <w:i/>
          <w:iCs/>
        </w:rPr>
        <w:t>Genex</w:t>
      </w:r>
      <w:proofErr w:type="spellEnd"/>
      <w:r w:rsidRPr="0065125A">
        <w:rPr>
          <w:rFonts w:cstheme="minorHAnsi"/>
          <w:i/>
          <w:iCs/>
        </w:rPr>
        <w:t xml:space="preserve"> Communications Inc. v. Canada (Attorney General)</w:t>
      </w:r>
      <w:r w:rsidRPr="0065125A">
        <w:rPr>
          <w:rFonts w:cstheme="minorHAnsi"/>
        </w:rPr>
        <w:t>, [2005] FCJ No 1440 at 43</w:t>
      </w:r>
    </w:p>
  </w:footnote>
  <w:footnote w:id="74">
    <w:p w14:paraId="0C52F2FC" w14:textId="362BC406" w:rsidR="00A17EF0" w:rsidRPr="0065125A" w:rsidRDefault="00A17EF0">
      <w:pPr>
        <w:pStyle w:val="FootnoteText"/>
        <w:rPr>
          <w:rFonts w:cstheme="minorHAnsi"/>
          <w:lang w:val="fr-CA"/>
        </w:rPr>
      </w:pPr>
      <w:r w:rsidRPr="0065125A">
        <w:rPr>
          <w:rStyle w:val="FootnoteReference"/>
          <w:rFonts w:cstheme="minorHAnsi"/>
        </w:rPr>
        <w:footnoteRef/>
      </w:r>
      <w:r w:rsidRPr="0065125A">
        <w:rPr>
          <w:rFonts w:cstheme="minorHAnsi"/>
          <w:lang w:val="fr-CA"/>
        </w:rPr>
        <w:t xml:space="preserve"> </w:t>
      </w:r>
      <w:r w:rsidR="00112B6E" w:rsidRPr="0065125A">
        <w:rPr>
          <w:rFonts w:cstheme="minorHAnsi"/>
          <w:i/>
          <w:iCs/>
          <w:lang w:val="fr-CA"/>
        </w:rPr>
        <w:t xml:space="preserve">Keegstra </w:t>
      </w:r>
      <w:r w:rsidR="00112B6E" w:rsidRPr="0065125A">
        <w:rPr>
          <w:rFonts w:cstheme="minorHAnsi"/>
          <w:lang w:val="fr-CA"/>
        </w:rPr>
        <w:t xml:space="preserve">at </w:t>
      </w:r>
      <w:r w:rsidRPr="0065125A">
        <w:rPr>
          <w:rFonts w:cstheme="minorHAnsi"/>
          <w:lang w:val="fr-CA"/>
        </w:rPr>
        <w:t xml:space="preserve">134 </w:t>
      </w:r>
      <w:r w:rsidR="00112B6E" w:rsidRPr="0065125A">
        <w:rPr>
          <w:rFonts w:cstheme="minorHAnsi"/>
          <w:lang w:val="fr-CA"/>
        </w:rPr>
        <w:t>–</w:t>
      </w:r>
      <w:r w:rsidRPr="0065125A">
        <w:rPr>
          <w:rFonts w:cstheme="minorHAnsi"/>
          <w:lang w:val="fr-CA"/>
        </w:rPr>
        <w:t xml:space="preserve"> 136</w:t>
      </w:r>
      <w:r w:rsidR="00112B6E" w:rsidRPr="0065125A">
        <w:rPr>
          <w:rFonts w:cstheme="minorHAnsi"/>
          <w:lang w:val="fr-CA"/>
        </w:rPr>
        <w:t>.</w:t>
      </w:r>
    </w:p>
  </w:footnote>
  <w:footnote w:id="75">
    <w:p w14:paraId="21936226" w14:textId="249A9232" w:rsidR="00CE154C" w:rsidRPr="0065125A" w:rsidRDefault="00CE154C">
      <w:pPr>
        <w:pStyle w:val="FootnoteText"/>
        <w:rPr>
          <w:rFonts w:cstheme="minorHAnsi"/>
          <w:lang w:val="fr-CA"/>
        </w:rPr>
      </w:pPr>
      <w:r w:rsidRPr="0065125A">
        <w:rPr>
          <w:rStyle w:val="FootnoteReference"/>
          <w:rFonts w:cstheme="minorHAnsi"/>
        </w:rPr>
        <w:footnoteRef/>
      </w:r>
      <w:r w:rsidRPr="0065125A">
        <w:rPr>
          <w:rFonts w:cstheme="minorHAnsi"/>
          <w:lang w:val="fr-CA"/>
        </w:rPr>
        <w:t xml:space="preserve"> </w:t>
      </w:r>
      <w:r w:rsidR="00A76D76" w:rsidRPr="0065125A">
        <w:rPr>
          <w:rFonts w:cstheme="minorHAnsi"/>
          <w:i/>
          <w:iCs/>
          <w:lang w:val="fr-CA"/>
        </w:rPr>
        <w:t xml:space="preserve">Dore v Barreau du </w:t>
      </w:r>
      <w:proofErr w:type="spellStart"/>
      <w:r w:rsidR="00A76D76" w:rsidRPr="0065125A">
        <w:rPr>
          <w:rFonts w:cstheme="minorHAnsi"/>
          <w:i/>
          <w:iCs/>
          <w:lang w:val="fr-CA"/>
        </w:rPr>
        <w:t>Quebec</w:t>
      </w:r>
      <w:proofErr w:type="spellEnd"/>
      <w:r w:rsidR="00A76D76" w:rsidRPr="0065125A">
        <w:rPr>
          <w:rFonts w:cstheme="minorHAnsi"/>
          <w:i/>
          <w:iCs/>
          <w:lang w:val="fr-CA"/>
        </w:rPr>
        <w:t xml:space="preserve">, </w:t>
      </w:r>
      <w:r w:rsidR="00A76D76" w:rsidRPr="0065125A">
        <w:rPr>
          <w:rFonts w:cstheme="minorHAnsi"/>
          <w:lang w:val="fr-CA"/>
        </w:rPr>
        <w:t>2012 SCC 12 at para</w:t>
      </w:r>
      <w:r w:rsidRPr="0065125A">
        <w:rPr>
          <w:rFonts w:cstheme="minorHAnsi"/>
          <w:lang w:val="fr-CA"/>
        </w:rPr>
        <w:t xml:space="preserve"> 24</w:t>
      </w:r>
      <w:r w:rsidR="00C64F6A" w:rsidRPr="0065125A">
        <w:rPr>
          <w:rFonts w:cstheme="minorHAnsi"/>
          <w:lang w:val="fr-CA"/>
        </w:rPr>
        <w:t xml:space="preserve"> [Dore]</w:t>
      </w:r>
      <w:r w:rsidRPr="0065125A">
        <w:rPr>
          <w:rFonts w:cstheme="minorHAnsi"/>
          <w:lang w:val="fr-CA"/>
        </w:rPr>
        <w:t>.</w:t>
      </w:r>
    </w:p>
  </w:footnote>
  <w:footnote w:id="76">
    <w:p w14:paraId="0AEE51A8" w14:textId="2EEE6DCC" w:rsidR="00994563" w:rsidRPr="00116B31" w:rsidRDefault="00994563">
      <w:pPr>
        <w:pStyle w:val="FootnoteText"/>
        <w:rPr>
          <w:rFonts w:cstheme="minorHAnsi"/>
        </w:rPr>
      </w:pPr>
      <w:r w:rsidRPr="0065125A">
        <w:rPr>
          <w:rStyle w:val="FootnoteReference"/>
          <w:rFonts w:cstheme="minorHAnsi"/>
        </w:rPr>
        <w:footnoteRef/>
      </w:r>
      <w:r w:rsidRPr="00116B31">
        <w:rPr>
          <w:rFonts w:cstheme="minorHAnsi"/>
        </w:rPr>
        <w:t xml:space="preserve"> </w:t>
      </w:r>
      <w:r w:rsidR="007E7115" w:rsidRPr="00116B31">
        <w:rPr>
          <w:rFonts w:cstheme="minorHAnsi"/>
          <w:i/>
          <w:iCs/>
        </w:rPr>
        <w:t>Dore</w:t>
      </w:r>
      <w:r w:rsidRPr="00116B31">
        <w:rPr>
          <w:rFonts w:cstheme="minorHAnsi"/>
        </w:rPr>
        <w:t xml:space="preserve"> </w:t>
      </w:r>
      <w:r w:rsidR="00C64F6A" w:rsidRPr="00116B31">
        <w:rPr>
          <w:rFonts w:cstheme="minorHAnsi"/>
        </w:rPr>
        <w:t>at</w:t>
      </w:r>
      <w:r w:rsidR="00AE17E2" w:rsidRPr="00116B31">
        <w:rPr>
          <w:rFonts w:cstheme="minorHAnsi"/>
        </w:rPr>
        <w:t xml:space="preserve"> para</w:t>
      </w:r>
      <w:r w:rsidR="00C64F6A" w:rsidRPr="00116B31">
        <w:rPr>
          <w:rFonts w:cstheme="minorHAnsi"/>
        </w:rPr>
        <w:t xml:space="preserve"> </w:t>
      </w:r>
      <w:r w:rsidRPr="00116B31">
        <w:rPr>
          <w:rFonts w:cstheme="minorHAnsi"/>
        </w:rPr>
        <w:t>6</w:t>
      </w:r>
      <w:r w:rsidR="00C64F6A" w:rsidRPr="00116B31">
        <w:rPr>
          <w:rFonts w:cstheme="minorHAnsi"/>
        </w:rPr>
        <w:t>.</w:t>
      </w:r>
    </w:p>
  </w:footnote>
  <w:footnote w:id="77">
    <w:p w14:paraId="22551DEA" w14:textId="7BA3D556" w:rsidR="009E7A23" w:rsidRPr="0065125A" w:rsidRDefault="009E7A23">
      <w:pPr>
        <w:pStyle w:val="FootnoteText"/>
        <w:rPr>
          <w:rFonts w:cstheme="minorHAnsi"/>
        </w:rPr>
      </w:pPr>
      <w:r w:rsidRPr="0065125A">
        <w:rPr>
          <w:rStyle w:val="FootnoteReference"/>
          <w:rFonts w:cstheme="minorHAnsi"/>
        </w:rPr>
        <w:footnoteRef/>
      </w:r>
      <w:r w:rsidR="00EF5513" w:rsidRPr="0065125A">
        <w:rPr>
          <w:rFonts w:cstheme="minorHAnsi"/>
        </w:rPr>
        <w:t xml:space="preserve"> </w:t>
      </w:r>
      <w:r w:rsidR="00C5372A" w:rsidRPr="0065125A">
        <w:rPr>
          <w:rFonts w:cstheme="minorHAnsi"/>
          <w:i/>
          <w:iCs/>
        </w:rPr>
        <w:t>Dore</w:t>
      </w:r>
      <w:r w:rsidR="00C5372A" w:rsidRPr="0065125A">
        <w:rPr>
          <w:rFonts w:cstheme="minorHAnsi"/>
        </w:rPr>
        <w:t xml:space="preserve"> at p</w:t>
      </w:r>
      <w:r w:rsidR="00EF5513" w:rsidRPr="0065125A">
        <w:rPr>
          <w:rFonts w:cstheme="minorHAnsi"/>
        </w:rPr>
        <w:t>ara</w:t>
      </w:r>
      <w:r w:rsidR="00C5372A" w:rsidRPr="0065125A">
        <w:rPr>
          <w:rFonts w:cstheme="minorHAnsi"/>
        </w:rPr>
        <w:t>s</w:t>
      </w:r>
      <w:r w:rsidR="00EF5513" w:rsidRPr="0065125A">
        <w:rPr>
          <w:rFonts w:cstheme="minorHAnsi"/>
        </w:rPr>
        <w:t xml:space="preserve"> </w:t>
      </w:r>
      <w:r w:rsidRPr="0065125A">
        <w:rPr>
          <w:rFonts w:cstheme="minorHAnsi"/>
        </w:rPr>
        <w:t>35</w:t>
      </w:r>
      <w:r w:rsidR="00C5372A" w:rsidRPr="0065125A">
        <w:rPr>
          <w:rFonts w:cstheme="minorHAnsi"/>
        </w:rPr>
        <w:t>, and</w:t>
      </w:r>
      <w:r w:rsidR="000768B5" w:rsidRPr="0065125A">
        <w:rPr>
          <w:rFonts w:cstheme="minorHAnsi"/>
        </w:rPr>
        <w:t xml:space="preserve"> 52.</w:t>
      </w:r>
    </w:p>
  </w:footnote>
  <w:footnote w:id="78">
    <w:p w14:paraId="1ED0B212" w14:textId="471FD09A" w:rsidR="002A3A23" w:rsidRPr="0065125A" w:rsidRDefault="002A3A23">
      <w:pPr>
        <w:pStyle w:val="FootnoteText"/>
        <w:rPr>
          <w:rFonts w:cstheme="minorHAnsi"/>
        </w:rPr>
      </w:pPr>
      <w:r w:rsidRPr="0065125A">
        <w:rPr>
          <w:rStyle w:val="FootnoteReference"/>
          <w:rFonts w:cstheme="minorHAnsi"/>
        </w:rPr>
        <w:footnoteRef/>
      </w:r>
      <w:r w:rsidRPr="0065125A">
        <w:rPr>
          <w:rFonts w:cstheme="minorHAnsi"/>
        </w:rPr>
        <w:t xml:space="preserve"> </w:t>
      </w:r>
      <w:r w:rsidR="00E74C1E" w:rsidRPr="0065125A">
        <w:rPr>
          <w:rFonts w:cstheme="minorHAnsi"/>
          <w:i/>
          <w:iCs/>
        </w:rPr>
        <w:t>Dore</w:t>
      </w:r>
      <w:r w:rsidR="00E74C1E" w:rsidRPr="0065125A">
        <w:rPr>
          <w:rFonts w:cstheme="minorHAnsi"/>
        </w:rPr>
        <w:t xml:space="preserve"> at paras </w:t>
      </w:r>
      <w:r w:rsidRPr="0065125A">
        <w:rPr>
          <w:rFonts w:cstheme="minorHAnsi"/>
        </w:rPr>
        <w:t>39 -</w:t>
      </w:r>
      <w:r w:rsidR="00E74C1E" w:rsidRPr="0065125A">
        <w:rPr>
          <w:rFonts w:cstheme="minorHAnsi"/>
        </w:rPr>
        <w:t xml:space="preserve"> </w:t>
      </w:r>
      <w:r w:rsidRPr="0065125A">
        <w:rPr>
          <w:rFonts w:cstheme="minorHAnsi"/>
        </w:rPr>
        <w:t>40.</w:t>
      </w:r>
    </w:p>
  </w:footnote>
  <w:footnote w:id="79">
    <w:p w14:paraId="0D7CC2C3" w14:textId="53857BF2" w:rsidR="00FD11F7" w:rsidRPr="0065125A" w:rsidRDefault="00FD11F7">
      <w:pPr>
        <w:pStyle w:val="FootnoteText"/>
        <w:rPr>
          <w:rFonts w:cstheme="minorHAnsi"/>
        </w:rPr>
      </w:pPr>
      <w:r w:rsidRPr="0065125A">
        <w:rPr>
          <w:rStyle w:val="FootnoteReference"/>
          <w:rFonts w:cstheme="minorHAnsi"/>
        </w:rPr>
        <w:footnoteRef/>
      </w:r>
      <w:r w:rsidRPr="0065125A">
        <w:rPr>
          <w:rFonts w:cstheme="minorHAnsi"/>
        </w:rPr>
        <w:t xml:space="preserve"> </w:t>
      </w:r>
      <w:r w:rsidR="00E74C1E" w:rsidRPr="0065125A">
        <w:rPr>
          <w:rFonts w:cstheme="minorHAnsi"/>
          <w:i/>
          <w:iCs/>
        </w:rPr>
        <w:t>Dore</w:t>
      </w:r>
      <w:r w:rsidR="00E74C1E" w:rsidRPr="0065125A">
        <w:rPr>
          <w:rFonts w:cstheme="minorHAnsi"/>
        </w:rPr>
        <w:t xml:space="preserve"> at </w:t>
      </w:r>
      <w:r w:rsidR="00277446" w:rsidRPr="0065125A">
        <w:rPr>
          <w:rFonts w:cstheme="minorHAnsi"/>
        </w:rPr>
        <w:t>55 – 57.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F738C" w14:textId="77777777" w:rsidR="005F4C5F" w:rsidRDefault="005F4C5F" w:rsidP="005F4C5F">
    <w:pPr>
      <w:pStyle w:val="Header"/>
    </w:pPr>
    <w:r>
      <w:t>Deniz C. Ozensoy</w:t>
    </w:r>
  </w:p>
  <w:p w14:paraId="55D0C6B5" w14:textId="77777777" w:rsidR="005F4C5F" w:rsidRDefault="005F4C5F" w:rsidP="005F4C5F">
    <w:pPr>
      <w:pStyle w:val="Header"/>
    </w:pPr>
    <w:r>
      <w:t>Student no. 12860193</w:t>
    </w:r>
  </w:p>
  <w:p w14:paraId="6E6A1C7D" w14:textId="340D8A33" w:rsidR="005F4C5F" w:rsidRDefault="005F4C5F">
    <w:pPr>
      <w:pStyle w:val="Header"/>
    </w:pPr>
    <w:r>
      <w:t xml:space="preserve">Exam no. </w:t>
    </w:r>
    <w:r>
      <w:t>5559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30D78"/>
    <w:multiLevelType w:val="hybridMultilevel"/>
    <w:tmpl w:val="11CC28A0"/>
    <w:lvl w:ilvl="0" w:tplc="330478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61227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E06"/>
    <w:rsid w:val="00000CB4"/>
    <w:rsid w:val="00002154"/>
    <w:rsid w:val="000021DD"/>
    <w:rsid w:val="00004C08"/>
    <w:rsid w:val="0000596D"/>
    <w:rsid w:val="00005F10"/>
    <w:rsid w:val="00010FB2"/>
    <w:rsid w:val="00020702"/>
    <w:rsid w:val="000214E6"/>
    <w:rsid w:val="00021728"/>
    <w:rsid w:val="00021A42"/>
    <w:rsid w:val="00027F49"/>
    <w:rsid w:val="00030C31"/>
    <w:rsid w:val="00033EC2"/>
    <w:rsid w:val="0003414D"/>
    <w:rsid w:val="00040D15"/>
    <w:rsid w:val="000427B0"/>
    <w:rsid w:val="0004527C"/>
    <w:rsid w:val="00046F9B"/>
    <w:rsid w:val="00051239"/>
    <w:rsid w:val="00052326"/>
    <w:rsid w:val="00055A82"/>
    <w:rsid w:val="00057745"/>
    <w:rsid w:val="0006078B"/>
    <w:rsid w:val="00061DE8"/>
    <w:rsid w:val="00063982"/>
    <w:rsid w:val="00071351"/>
    <w:rsid w:val="000727A0"/>
    <w:rsid w:val="00072851"/>
    <w:rsid w:val="0007616F"/>
    <w:rsid w:val="000768B5"/>
    <w:rsid w:val="00076DF2"/>
    <w:rsid w:val="00080E17"/>
    <w:rsid w:val="0008147E"/>
    <w:rsid w:val="0008343C"/>
    <w:rsid w:val="00083C6B"/>
    <w:rsid w:val="0008479F"/>
    <w:rsid w:val="00085E64"/>
    <w:rsid w:val="00086331"/>
    <w:rsid w:val="00090436"/>
    <w:rsid w:val="000933CA"/>
    <w:rsid w:val="000961C4"/>
    <w:rsid w:val="000A1992"/>
    <w:rsid w:val="000A599C"/>
    <w:rsid w:val="000B6253"/>
    <w:rsid w:val="000B726D"/>
    <w:rsid w:val="000C14FC"/>
    <w:rsid w:val="000C2C16"/>
    <w:rsid w:val="000C37AC"/>
    <w:rsid w:val="000C542F"/>
    <w:rsid w:val="000C544C"/>
    <w:rsid w:val="000C57D6"/>
    <w:rsid w:val="000D2220"/>
    <w:rsid w:val="000D25C9"/>
    <w:rsid w:val="000D2F42"/>
    <w:rsid w:val="000E4D7E"/>
    <w:rsid w:val="000E6F88"/>
    <w:rsid w:val="000E7512"/>
    <w:rsid w:val="000E7945"/>
    <w:rsid w:val="000F3C65"/>
    <w:rsid w:val="000F6B6E"/>
    <w:rsid w:val="000F7660"/>
    <w:rsid w:val="00105D79"/>
    <w:rsid w:val="00110A35"/>
    <w:rsid w:val="00110B2C"/>
    <w:rsid w:val="00111045"/>
    <w:rsid w:val="0011231F"/>
    <w:rsid w:val="00112B6E"/>
    <w:rsid w:val="00113C32"/>
    <w:rsid w:val="00114C00"/>
    <w:rsid w:val="00115E52"/>
    <w:rsid w:val="00116B31"/>
    <w:rsid w:val="00121957"/>
    <w:rsid w:val="001228F0"/>
    <w:rsid w:val="00123A94"/>
    <w:rsid w:val="00124D15"/>
    <w:rsid w:val="001257CC"/>
    <w:rsid w:val="00126161"/>
    <w:rsid w:val="00126662"/>
    <w:rsid w:val="00127A19"/>
    <w:rsid w:val="00127A73"/>
    <w:rsid w:val="0013236B"/>
    <w:rsid w:val="001335B2"/>
    <w:rsid w:val="00134380"/>
    <w:rsid w:val="0013459C"/>
    <w:rsid w:val="001363E3"/>
    <w:rsid w:val="00141DFE"/>
    <w:rsid w:val="00142D05"/>
    <w:rsid w:val="0014768B"/>
    <w:rsid w:val="00151CA1"/>
    <w:rsid w:val="0015274B"/>
    <w:rsid w:val="00162101"/>
    <w:rsid w:val="001634EA"/>
    <w:rsid w:val="00166169"/>
    <w:rsid w:val="00167222"/>
    <w:rsid w:val="00167862"/>
    <w:rsid w:val="00172079"/>
    <w:rsid w:val="00177D04"/>
    <w:rsid w:val="00180B53"/>
    <w:rsid w:val="00183168"/>
    <w:rsid w:val="00184210"/>
    <w:rsid w:val="00185231"/>
    <w:rsid w:val="00185B8B"/>
    <w:rsid w:val="001864C5"/>
    <w:rsid w:val="0018733D"/>
    <w:rsid w:val="00187884"/>
    <w:rsid w:val="00187BD9"/>
    <w:rsid w:val="00187E69"/>
    <w:rsid w:val="00190431"/>
    <w:rsid w:val="001A0CC4"/>
    <w:rsid w:val="001A13F2"/>
    <w:rsid w:val="001A1FBA"/>
    <w:rsid w:val="001A2BC0"/>
    <w:rsid w:val="001B0638"/>
    <w:rsid w:val="001B13B5"/>
    <w:rsid w:val="001B2B0D"/>
    <w:rsid w:val="001B41D9"/>
    <w:rsid w:val="001B52D8"/>
    <w:rsid w:val="001B539C"/>
    <w:rsid w:val="001B72BD"/>
    <w:rsid w:val="001B752A"/>
    <w:rsid w:val="001B75D8"/>
    <w:rsid w:val="001B7E55"/>
    <w:rsid w:val="001C1901"/>
    <w:rsid w:val="001C2775"/>
    <w:rsid w:val="001D067B"/>
    <w:rsid w:val="001D0CA8"/>
    <w:rsid w:val="001D1B4C"/>
    <w:rsid w:val="001D37CC"/>
    <w:rsid w:val="001D3DC1"/>
    <w:rsid w:val="001D3E71"/>
    <w:rsid w:val="001D6C01"/>
    <w:rsid w:val="001D6ECB"/>
    <w:rsid w:val="001D74D0"/>
    <w:rsid w:val="001E1B30"/>
    <w:rsid w:val="001E36EE"/>
    <w:rsid w:val="001E5D74"/>
    <w:rsid w:val="001E5DA2"/>
    <w:rsid w:val="001E68F4"/>
    <w:rsid w:val="001E7AFB"/>
    <w:rsid w:val="00201228"/>
    <w:rsid w:val="00202B6B"/>
    <w:rsid w:val="00205E0F"/>
    <w:rsid w:val="00207EBE"/>
    <w:rsid w:val="0021176C"/>
    <w:rsid w:val="0021291B"/>
    <w:rsid w:val="00216D79"/>
    <w:rsid w:val="002202B5"/>
    <w:rsid w:val="00221857"/>
    <w:rsid w:val="00222D97"/>
    <w:rsid w:val="00224121"/>
    <w:rsid w:val="00224B5E"/>
    <w:rsid w:val="00224D86"/>
    <w:rsid w:val="00233DA0"/>
    <w:rsid w:val="00235235"/>
    <w:rsid w:val="00236AFD"/>
    <w:rsid w:val="00237A7E"/>
    <w:rsid w:val="0024292C"/>
    <w:rsid w:val="00242C55"/>
    <w:rsid w:val="002443BB"/>
    <w:rsid w:val="002475BA"/>
    <w:rsid w:val="00250A23"/>
    <w:rsid w:val="002535D4"/>
    <w:rsid w:val="002543D2"/>
    <w:rsid w:val="00254EEE"/>
    <w:rsid w:val="00257EAF"/>
    <w:rsid w:val="0026009D"/>
    <w:rsid w:val="00262BFC"/>
    <w:rsid w:val="002665C0"/>
    <w:rsid w:val="00271ECD"/>
    <w:rsid w:val="00273893"/>
    <w:rsid w:val="00277446"/>
    <w:rsid w:val="002776B7"/>
    <w:rsid w:val="00277C84"/>
    <w:rsid w:val="0028768A"/>
    <w:rsid w:val="00291737"/>
    <w:rsid w:val="00292366"/>
    <w:rsid w:val="0029287F"/>
    <w:rsid w:val="00297692"/>
    <w:rsid w:val="002A3A23"/>
    <w:rsid w:val="002A4914"/>
    <w:rsid w:val="002A6470"/>
    <w:rsid w:val="002A704C"/>
    <w:rsid w:val="002A7DD8"/>
    <w:rsid w:val="002B2667"/>
    <w:rsid w:val="002B7C13"/>
    <w:rsid w:val="002C50C5"/>
    <w:rsid w:val="002C6F39"/>
    <w:rsid w:val="002D306C"/>
    <w:rsid w:val="002E00BD"/>
    <w:rsid w:val="002E604F"/>
    <w:rsid w:val="002F096E"/>
    <w:rsid w:val="002F1C2E"/>
    <w:rsid w:val="002F2DB2"/>
    <w:rsid w:val="002F7012"/>
    <w:rsid w:val="00301EBA"/>
    <w:rsid w:val="003072F1"/>
    <w:rsid w:val="00312CFC"/>
    <w:rsid w:val="00314623"/>
    <w:rsid w:val="00314C71"/>
    <w:rsid w:val="00315C58"/>
    <w:rsid w:val="00316231"/>
    <w:rsid w:val="003171A9"/>
    <w:rsid w:val="00321FE0"/>
    <w:rsid w:val="003335A3"/>
    <w:rsid w:val="00333B5B"/>
    <w:rsid w:val="00336177"/>
    <w:rsid w:val="0033678F"/>
    <w:rsid w:val="00341A6C"/>
    <w:rsid w:val="00342913"/>
    <w:rsid w:val="00342B67"/>
    <w:rsid w:val="00343E79"/>
    <w:rsid w:val="0034436E"/>
    <w:rsid w:val="003450B9"/>
    <w:rsid w:val="00346D87"/>
    <w:rsid w:val="003507F0"/>
    <w:rsid w:val="0035218C"/>
    <w:rsid w:val="003523EB"/>
    <w:rsid w:val="00354B2D"/>
    <w:rsid w:val="0035545A"/>
    <w:rsid w:val="003558BC"/>
    <w:rsid w:val="0035621A"/>
    <w:rsid w:val="003578E6"/>
    <w:rsid w:val="00361285"/>
    <w:rsid w:val="003657A5"/>
    <w:rsid w:val="00372B66"/>
    <w:rsid w:val="00374584"/>
    <w:rsid w:val="00376893"/>
    <w:rsid w:val="0038260F"/>
    <w:rsid w:val="00386251"/>
    <w:rsid w:val="00386492"/>
    <w:rsid w:val="003875EB"/>
    <w:rsid w:val="00391772"/>
    <w:rsid w:val="00392580"/>
    <w:rsid w:val="003954BC"/>
    <w:rsid w:val="003A6364"/>
    <w:rsid w:val="003B45FE"/>
    <w:rsid w:val="003B5B31"/>
    <w:rsid w:val="003C37F9"/>
    <w:rsid w:val="003C6D54"/>
    <w:rsid w:val="003D0DE7"/>
    <w:rsid w:val="003D4E17"/>
    <w:rsid w:val="003D74F4"/>
    <w:rsid w:val="003E18F5"/>
    <w:rsid w:val="003E259E"/>
    <w:rsid w:val="003E3B81"/>
    <w:rsid w:val="003E785C"/>
    <w:rsid w:val="003F1F17"/>
    <w:rsid w:val="003F27BF"/>
    <w:rsid w:val="003F2908"/>
    <w:rsid w:val="003F2962"/>
    <w:rsid w:val="003F3F24"/>
    <w:rsid w:val="004026EC"/>
    <w:rsid w:val="00402B06"/>
    <w:rsid w:val="00405DB9"/>
    <w:rsid w:val="00406089"/>
    <w:rsid w:val="00410FEA"/>
    <w:rsid w:val="0041270A"/>
    <w:rsid w:val="0042182C"/>
    <w:rsid w:val="00422646"/>
    <w:rsid w:val="00424882"/>
    <w:rsid w:val="00427E85"/>
    <w:rsid w:val="00430063"/>
    <w:rsid w:val="00433833"/>
    <w:rsid w:val="0043416F"/>
    <w:rsid w:val="00435652"/>
    <w:rsid w:val="00435FF8"/>
    <w:rsid w:val="004370D1"/>
    <w:rsid w:val="004431FA"/>
    <w:rsid w:val="0044448C"/>
    <w:rsid w:val="0044523C"/>
    <w:rsid w:val="00445B80"/>
    <w:rsid w:val="004507F5"/>
    <w:rsid w:val="00453956"/>
    <w:rsid w:val="00454121"/>
    <w:rsid w:val="00454FEE"/>
    <w:rsid w:val="00455DBC"/>
    <w:rsid w:val="00463A23"/>
    <w:rsid w:val="004640D8"/>
    <w:rsid w:val="0046483E"/>
    <w:rsid w:val="004649A6"/>
    <w:rsid w:val="00466948"/>
    <w:rsid w:val="0046795B"/>
    <w:rsid w:val="00467E92"/>
    <w:rsid w:val="004717EF"/>
    <w:rsid w:val="00471E85"/>
    <w:rsid w:val="00473707"/>
    <w:rsid w:val="00473C5D"/>
    <w:rsid w:val="004751A6"/>
    <w:rsid w:val="004758BC"/>
    <w:rsid w:val="00476237"/>
    <w:rsid w:val="00484949"/>
    <w:rsid w:val="00487E9C"/>
    <w:rsid w:val="00490A0C"/>
    <w:rsid w:val="004915F2"/>
    <w:rsid w:val="004938D9"/>
    <w:rsid w:val="0049492A"/>
    <w:rsid w:val="004B0C06"/>
    <w:rsid w:val="004B1F09"/>
    <w:rsid w:val="004B2A9E"/>
    <w:rsid w:val="004C027E"/>
    <w:rsid w:val="004C268C"/>
    <w:rsid w:val="004C7A0A"/>
    <w:rsid w:val="004D0DB5"/>
    <w:rsid w:val="004D425D"/>
    <w:rsid w:val="004D47E7"/>
    <w:rsid w:val="004D5DD7"/>
    <w:rsid w:val="004E39A3"/>
    <w:rsid w:val="004E6D57"/>
    <w:rsid w:val="004F273E"/>
    <w:rsid w:val="004F6CD7"/>
    <w:rsid w:val="00500FBA"/>
    <w:rsid w:val="00502E80"/>
    <w:rsid w:val="00503449"/>
    <w:rsid w:val="00503616"/>
    <w:rsid w:val="00504AB2"/>
    <w:rsid w:val="00517128"/>
    <w:rsid w:val="00524C6F"/>
    <w:rsid w:val="00525439"/>
    <w:rsid w:val="0053112B"/>
    <w:rsid w:val="00532845"/>
    <w:rsid w:val="00533CE9"/>
    <w:rsid w:val="00537C63"/>
    <w:rsid w:val="00537E13"/>
    <w:rsid w:val="00544857"/>
    <w:rsid w:val="00546A16"/>
    <w:rsid w:val="00550083"/>
    <w:rsid w:val="00551ED1"/>
    <w:rsid w:val="005636AB"/>
    <w:rsid w:val="00563E28"/>
    <w:rsid w:val="005650A7"/>
    <w:rsid w:val="00566F99"/>
    <w:rsid w:val="00571C5C"/>
    <w:rsid w:val="00572FB3"/>
    <w:rsid w:val="00577729"/>
    <w:rsid w:val="0058022E"/>
    <w:rsid w:val="00584C68"/>
    <w:rsid w:val="00587F75"/>
    <w:rsid w:val="00591569"/>
    <w:rsid w:val="00591DC3"/>
    <w:rsid w:val="00592C3C"/>
    <w:rsid w:val="00593A95"/>
    <w:rsid w:val="00595BA4"/>
    <w:rsid w:val="00597E33"/>
    <w:rsid w:val="005A0768"/>
    <w:rsid w:val="005A4214"/>
    <w:rsid w:val="005A45B7"/>
    <w:rsid w:val="005A481F"/>
    <w:rsid w:val="005A5F0E"/>
    <w:rsid w:val="005A7F60"/>
    <w:rsid w:val="005B4A99"/>
    <w:rsid w:val="005B6060"/>
    <w:rsid w:val="005B6817"/>
    <w:rsid w:val="005C6E3B"/>
    <w:rsid w:val="005D2C8B"/>
    <w:rsid w:val="005D3EA3"/>
    <w:rsid w:val="005D75C6"/>
    <w:rsid w:val="005E0AD8"/>
    <w:rsid w:val="005E1989"/>
    <w:rsid w:val="005E2E2C"/>
    <w:rsid w:val="005E4BA5"/>
    <w:rsid w:val="005E6D00"/>
    <w:rsid w:val="005E7FA2"/>
    <w:rsid w:val="005F241C"/>
    <w:rsid w:val="005F4C5F"/>
    <w:rsid w:val="005F51DF"/>
    <w:rsid w:val="005F6CAE"/>
    <w:rsid w:val="005F7D41"/>
    <w:rsid w:val="00600350"/>
    <w:rsid w:val="00602EE5"/>
    <w:rsid w:val="0061031B"/>
    <w:rsid w:val="00611928"/>
    <w:rsid w:val="00614C1F"/>
    <w:rsid w:val="0061514A"/>
    <w:rsid w:val="00617494"/>
    <w:rsid w:val="00621D82"/>
    <w:rsid w:val="00621E5B"/>
    <w:rsid w:val="0062466C"/>
    <w:rsid w:val="00627469"/>
    <w:rsid w:val="00636137"/>
    <w:rsid w:val="00636310"/>
    <w:rsid w:val="006408FC"/>
    <w:rsid w:val="00642E6C"/>
    <w:rsid w:val="00643605"/>
    <w:rsid w:val="00644B1A"/>
    <w:rsid w:val="0065125A"/>
    <w:rsid w:val="0065264A"/>
    <w:rsid w:val="006527D2"/>
    <w:rsid w:val="00653B02"/>
    <w:rsid w:val="00653B30"/>
    <w:rsid w:val="00654CB5"/>
    <w:rsid w:val="006566F8"/>
    <w:rsid w:val="00656CCA"/>
    <w:rsid w:val="00660023"/>
    <w:rsid w:val="00661573"/>
    <w:rsid w:val="006648F1"/>
    <w:rsid w:val="0067257D"/>
    <w:rsid w:val="00674A0D"/>
    <w:rsid w:val="00680B59"/>
    <w:rsid w:val="00690246"/>
    <w:rsid w:val="006935AB"/>
    <w:rsid w:val="00693921"/>
    <w:rsid w:val="006A23C9"/>
    <w:rsid w:val="006A42BA"/>
    <w:rsid w:val="006A48F4"/>
    <w:rsid w:val="006A5802"/>
    <w:rsid w:val="006A5E54"/>
    <w:rsid w:val="006B2CB7"/>
    <w:rsid w:val="006B3AD7"/>
    <w:rsid w:val="006B3B17"/>
    <w:rsid w:val="006C37CD"/>
    <w:rsid w:val="006C3BF0"/>
    <w:rsid w:val="006C4448"/>
    <w:rsid w:val="006C51D6"/>
    <w:rsid w:val="006C6DF3"/>
    <w:rsid w:val="006D2B3A"/>
    <w:rsid w:val="006E24B1"/>
    <w:rsid w:val="006E2A05"/>
    <w:rsid w:val="006E3330"/>
    <w:rsid w:val="006E3392"/>
    <w:rsid w:val="006E4FA2"/>
    <w:rsid w:val="006F028E"/>
    <w:rsid w:val="006F093D"/>
    <w:rsid w:val="006F24C0"/>
    <w:rsid w:val="00703C0D"/>
    <w:rsid w:val="00705471"/>
    <w:rsid w:val="00706C59"/>
    <w:rsid w:val="00711135"/>
    <w:rsid w:val="00712D7B"/>
    <w:rsid w:val="00715E0D"/>
    <w:rsid w:val="00720843"/>
    <w:rsid w:val="00720E07"/>
    <w:rsid w:val="007229E7"/>
    <w:rsid w:val="00724614"/>
    <w:rsid w:val="00724A4C"/>
    <w:rsid w:val="0073100E"/>
    <w:rsid w:val="0073284D"/>
    <w:rsid w:val="007367BA"/>
    <w:rsid w:val="0073695D"/>
    <w:rsid w:val="00736E31"/>
    <w:rsid w:val="00737A91"/>
    <w:rsid w:val="00740230"/>
    <w:rsid w:val="00740FA8"/>
    <w:rsid w:val="0074271A"/>
    <w:rsid w:val="00744DF5"/>
    <w:rsid w:val="00745C09"/>
    <w:rsid w:val="00746491"/>
    <w:rsid w:val="007512F1"/>
    <w:rsid w:val="00755A1F"/>
    <w:rsid w:val="007576F5"/>
    <w:rsid w:val="0076060A"/>
    <w:rsid w:val="007607EA"/>
    <w:rsid w:val="007621A2"/>
    <w:rsid w:val="007629B4"/>
    <w:rsid w:val="00765E2B"/>
    <w:rsid w:val="00766371"/>
    <w:rsid w:val="007722E7"/>
    <w:rsid w:val="0077248F"/>
    <w:rsid w:val="00772CFF"/>
    <w:rsid w:val="00773163"/>
    <w:rsid w:val="00773D11"/>
    <w:rsid w:val="007741CD"/>
    <w:rsid w:val="007749EE"/>
    <w:rsid w:val="00775DFF"/>
    <w:rsid w:val="0078293D"/>
    <w:rsid w:val="00787972"/>
    <w:rsid w:val="00793D05"/>
    <w:rsid w:val="007947B0"/>
    <w:rsid w:val="00796CD1"/>
    <w:rsid w:val="007976BA"/>
    <w:rsid w:val="007A0DEE"/>
    <w:rsid w:val="007A12E5"/>
    <w:rsid w:val="007A4CB5"/>
    <w:rsid w:val="007A4E8E"/>
    <w:rsid w:val="007A4EE6"/>
    <w:rsid w:val="007A69CF"/>
    <w:rsid w:val="007A7FFA"/>
    <w:rsid w:val="007B4B73"/>
    <w:rsid w:val="007B57C0"/>
    <w:rsid w:val="007C04A9"/>
    <w:rsid w:val="007C10BB"/>
    <w:rsid w:val="007C5997"/>
    <w:rsid w:val="007C61B2"/>
    <w:rsid w:val="007C6459"/>
    <w:rsid w:val="007C6A0B"/>
    <w:rsid w:val="007D1A9D"/>
    <w:rsid w:val="007D27BD"/>
    <w:rsid w:val="007D3462"/>
    <w:rsid w:val="007D530B"/>
    <w:rsid w:val="007D7696"/>
    <w:rsid w:val="007E0A55"/>
    <w:rsid w:val="007E1A3C"/>
    <w:rsid w:val="007E2470"/>
    <w:rsid w:val="007E275D"/>
    <w:rsid w:val="007E6A0C"/>
    <w:rsid w:val="007E7115"/>
    <w:rsid w:val="007F0580"/>
    <w:rsid w:val="007F546F"/>
    <w:rsid w:val="007F59E4"/>
    <w:rsid w:val="00802413"/>
    <w:rsid w:val="008028EC"/>
    <w:rsid w:val="00810A24"/>
    <w:rsid w:val="00812151"/>
    <w:rsid w:val="00812F12"/>
    <w:rsid w:val="008130CD"/>
    <w:rsid w:val="00820C87"/>
    <w:rsid w:val="00822A0B"/>
    <w:rsid w:val="008311B4"/>
    <w:rsid w:val="008318FE"/>
    <w:rsid w:val="00833EE0"/>
    <w:rsid w:val="008344B4"/>
    <w:rsid w:val="00836C89"/>
    <w:rsid w:val="0084196A"/>
    <w:rsid w:val="00844383"/>
    <w:rsid w:val="00844E4F"/>
    <w:rsid w:val="00845123"/>
    <w:rsid w:val="00846A42"/>
    <w:rsid w:val="008508DC"/>
    <w:rsid w:val="00852536"/>
    <w:rsid w:val="00855403"/>
    <w:rsid w:val="00855C1B"/>
    <w:rsid w:val="00861CD1"/>
    <w:rsid w:val="008634B8"/>
    <w:rsid w:val="00863DCB"/>
    <w:rsid w:val="00865F8A"/>
    <w:rsid w:val="008729CF"/>
    <w:rsid w:val="008818C8"/>
    <w:rsid w:val="00882A20"/>
    <w:rsid w:val="00883008"/>
    <w:rsid w:val="008844E0"/>
    <w:rsid w:val="00884780"/>
    <w:rsid w:val="00890D86"/>
    <w:rsid w:val="00891237"/>
    <w:rsid w:val="00891D08"/>
    <w:rsid w:val="00893557"/>
    <w:rsid w:val="00896E38"/>
    <w:rsid w:val="008974CD"/>
    <w:rsid w:val="008A13C2"/>
    <w:rsid w:val="008A2AA1"/>
    <w:rsid w:val="008A3F14"/>
    <w:rsid w:val="008A66F1"/>
    <w:rsid w:val="008B05F8"/>
    <w:rsid w:val="008B0FDF"/>
    <w:rsid w:val="008B3747"/>
    <w:rsid w:val="008B4E42"/>
    <w:rsid w:val="008B59F4"/>
    <w:rsid w:val="008C1609"/>
    <w:rsid w:val="008C6B2A"/>
    <w:rsid w:val="008C6E70"/>
    <w:rsid w:val="008D0309"/>
    <w:rsid w:val="008D0BDC"/>
    <w:rsid w:val="008D1EF9"/>
    <w:rsid w:val="008D4795"/>
    <w:rsid w:val="008D4D06"/>
    <w:rsid w:val="008E13CC"/>
    <w:rsid w:val="008E32FD"/>
    <w:rsid w:val="008E3C98"/>
    <w:rsid w:val="008E4440"/>
    <w:rsid w:val="008E5EFA"/>
    <w:rsid w:val="008E65C9"/>
    <w:rsid w:val="008E72F1"/>
    <w:rsid w:val="008E7E58"/>
    <w:rsid w:val="008F0CC9"/>
    <w:rsid w:val="008F1236"/>
    <w:rsid w:val="008F1DAA"/>
    <w:rsid w:val="008F2C8D"/>
    <w:rsid w:val="008F70F2"/>
    <w:rsid w:val="008F76E5"/>
    <w:rsid w:val="00902452"/>
    <w:rsid w:val="00902E6D"/>
    <w:rsid w:val="00906AEA"/>
    <w:rsid w:val="00907648"/>
    <w:rsid w:val="00907D85"/>
    <w:rsid w:val="00911029"/>
    <w:rsid w:val="009145AB"/>
    <w:rsid w:val="0092123F"/>
    <w:rsid w:val="00921A08"/>
    <w:rsid w:val="009246B8"/>
    <w:rsid w:val="00927A8E"/>
    <w:rsid w:val="00927FAE"/>
    <w:rsid w:val="00932743"/>
    <w:rsid w:val="0093413A"/>
    <w:rsid w:val="009355B6"/>
    <w:rsid w:val="009377F6"/>
    <w:rsid w:val="00940DEE"/>
    <w:rsid w:val="00941259"/>
    <w:rsid w:val="009422E0"/>
    <w:rsid w:val="0094639D"/>
    <w:rsid w:val="00946A8F"/>
    <w:rsid w:val="00947842"/>
    <w:rsid w:val="009514DE"/>
    <w:rsid w:val="009536AE"/>
    <w:rsid w:val="00956E8B"/>
    <w:rsid w:val="0096152E"/>
    <w:rsid w:val="00961B72"/>
    <w:rsid w:val="00971BD2"/>
    <w:rsid w:val="009748C1"/>
    <w:rsid w:val="00975B0C"/>
    <w:rsid w:val="00983C2F"/>
    <w:rsid w:val="009841EE"/>
    <w:rsid w:val="0098462B"/>
    <w:rsid w:val="009850EA"/>
    <w:rsid w:val="00986750"/>
    <w:rsid w:val="00986FBB"/>
    <w:rsid w:val="00987E67"/>
    <w:rsid w:val="00990E41"/>
    <w:rsid w:val="00992ED7"/>
    <w:rsid w:val="00994563"/>
    <w:rsid w:val="00995ED1"/>
    <w:rsid w:val="00996C00"/>
    <w:rsid w:val="009979FC"/>
    <w:rsid w:val="009A0E7D"/>
    <w:rsid w:val="009A10A7"/>
    <w:rsid w:val="009A5C3F"/>
    <w:rsid w:val="009A6FB0"/>
    <w:rsid w:val="009B4FA9"/>
    <w:rsid w:val="009C04A7"/>
    <w:rsid w:val="009C0E22"/>
    <w:rsid w:val="009C21BB"/>
    <w:rsid w:val="009C2C39"/>
    <w:rsid w:val="009C4B96"/>
    <w:rsid w:val="009C6897"/>
    <w:rsid w:val="009D0F10"/>
    <w:rsid w:val="009D171E"/>
    <w:rsid w:val="009D59D5"/>
    <w:rsid w:val="009D5B77"/>
    <w:rsid w:val="009E1A86"/>
    <w:rsid w:val="009E2DE8"/>
    <w:rsid w:val="009E3CB8"/>
    <w:rsid w:val="009E7A23"/>
    <w:rsid w:val="009E7E48"/>
    <w:rsid w:val="009F1A8A"/>
    <w:rsid w:val="009F45E2"/>
    <w:rsid w:val="009F5E0D"/>
    <w:rsid w:val="00A00BEE"/>
    <w:rsid w:val="00A03150"/>
    <w:rsid w:val="00A03EA8"/>
    <w:rsid w:val="00A04909"/>
    <w:rsid w:val="00A05387"/>
    <w:rsid w:val="00A117C7"/>
    <w:rsid w:val="00A1561C"/>
    <w:rsid w:val="00A17B1C"/>
    <w:rsid w:val="00A17EF0"/>
    <w:rsid w:val="00A20869"/>
    <w:rsid w:val="00A33075"/>
    <w:rsid w:val="00A35765"/>
    <w:rsid w:val="00A357C5"/>
    <w:rsid w:val="00A37EAC"/>
    <w:rsid w:val="00A4371F"/>
    <w:rsid w:val="00A44A16"/>
    <w:rsid w:val="00A44FFB"/>
    <w:rsid w:val="00A465BA"/>
    <w:rsid w:val="00A53FC5"/>
    <w:rsid w:val="00A5550F"/>
    <w:rsid w:val="00A55F06"/>
    <w:rsid w:val="00A567A0"/>
    <w:rsid w:val="00A57603"/>
    <w:rsid w:val="00A624C8"/>
    <w:rsid w:val="00A62AA3"/>
    <w:rsid w:val="00A643F6"/>
    <w:rsid w:val="00A708A6"/>
    <w:rsid w:val="00A71FD4"/>
    <w:rsid w:val="00A7356F"/>
    <w:rsid w:val="00A735FA"/>
    <w:rsid w:val="00A753B0"/>
    <w:rsid w:val="00A76D76"/>
    <w:rsid w:val="00A7744B"/>
    <w:rsid w:val="00A7746F"/>
    <w:rsid w:val="00A853E7"/>
    <w:rsid w:val="00A87237"/>
    <w:rsid w:val="00A91D76"/>
    <w:rsid w:val="00A92112"/>
    <w:rsid w:val="00A93E89"/>
    <w:rsid w:val="00A9583D"/>
    <w:rsid w:val="00A96ED7"/>
    <w:rsid w:val="00A979A2"/>
    <w:rsid w:val="00AA030A"/>
    <w:rsid w:val="00AA494E"/>
    <w:rsid w:val="00AA4B07"/>
    <w:rsid w:val="00AA4C26"/>
    <w:rsid w:val="00AA5839"/>
    <w:rsid w:val="00AA6316"/>
    <w:rsid w:val="00AA7581"/>
    <w:rsid w:val="00AB2E06"/>
    <w:rsid w:val="00AB4064"/>
    <w:rsid w:val="00AB46D5"/>
    <w:rsid w:val="00AB574B"/>
    <w:rsid w:val="00AC1CAB"/>
    <w:rsid w:val="00AC392E"/>
    <w:rsid w:val="00AC5471"/>
    <w:rsid w:val="00AC72D2"/>
    <w:rsid w:val="00AC73E6"/>
    <w:rsid w:val="00AD0E63"/>
    <w:rsid w:val="00AD1121"/>
    <w:rsid w:val="00AD1682"/>
    <w:rsid w:val="00AD1A21"/>
    <w:rsid w:val="00AE17E2"/>
    <w:rsid w:val="00AE3FAF"/>
    <w:rsid w:val="00AE46E4"/>
    <w:rsid w:val="00AF2A74"/>
    <w:rsid w:val="00AF42D7"/>
    <w:rsid w:val="00AF5128"/>
    <w:rsid w:val="00AF5C9A"/>
    <w:rsid w:val="00B06B8E"/>
    <w:rsid w:val="00B06F62"/>
    <w:rsid w:val="00B103CE"/>
    <w:rsid w:val="00B1647E"/>
    <w:rsid w:val="00B26191"/>
    <w:rsid w:val="00B2624B"/>
    <w:rsid w:val="00B37778"/>
    <w:rsid w:val="00B40DBD"/>
    <w:rsid w:val="00B41F16"/>
    <w:rsid w:val="00B42913"/>
    <w:rsid w:val="00B4422D"/>
    <w:rsid w:val="00B455B7"/>
    <w:rsid w:val="00B46182"/>
    <w:rsid w:val="00B46EEA"/>
    <w:rsid w:val="00B47324"/>
    <w:rsid w:val="00B52B48"/>
    <w:rsid w:val="00B55562"/>
    <w:rsid w:val="00B55666"/>
    <w:rsid w:val="00B6005D"/>
    <w:rsid w:val="00B632E1"/>
    <w:rsid w:val="00B64F7E"/>
    <w:rsid w:val="00B650B7"/>
    <w:rsid w:val="00B651C6"/>
    <w:rsid w:val="00B659F6"/>
    <w:rsid w:val="00B67793"/>
    <w:rsid w:val="00B721C1"/>
    <w:rsid w:val="00B73F1A"/>
    <w:rsid w:val="00B74727"/>
    <w:rsid w:val="00B76C3D"/>
    <w:rsid w:val="00B81385"/>
    <w:rsid w:val="00B84846"/>
    <w:rsid w:val="00B865F5"/>
    <w:rsid w:val="00B90A98"/>
    <w:rsid w:val="00B955A0"/>
    <w:rsid w:val="00B95EB6"/>
    <w:rsid w:val="00B97A84"/>
    <w:rsid w:val="00BA0301"/>
    <w:rsid w:val="00BA0A54"/>
    <w:rsid w:val="00BB03A4"/>
    <w:rsid w:val="00BB49B4"/>
    <w:rsid w:val="00BB4C72"/>
    <w:rsid w:val="00BB4F21"/>
    <w:rsid w:val="00BC040D"/>
    <w:rsid w:val="00BC0E19"/>
    <w:rsid w:val="00BC3A91"/>
    <w:rsid w:val="00BC5792"/>
    <w:rsid w:val="00BC7003"/>
    <w:rsid w:val="00BD1924"/>
    <w:rsid w:val="00BE1FE5"/>
    <w:rsid w:val="00BE2DB3"/>
    <w:rsid w:val="00BE37F7"/>
    <w:rsid w:val="00BF122A"/>
    <w:rsid w:val="00BF4190"/>
    <w:rsid w:val="00BF5F84"/>
    <w:rsid w:val="00BF613C"/>
    <w:rsid w:val="00C00F0C"/>
    <w:rsid w:val="00C0430D"/>
    <w:rsid w:val="00C050FA"/>
    <w:rsid w:val="00C10BB1"/>
    <w:rsid w:val="00C1341B"/>
    <w:rsid w:val="00C14322"/>
    <w:rsid w:val="00C14E65"/>
    <w:rsid w:val="00C2039D"/>
    <w:rsid w:val="00C21FFA"/>
    <w:rsid w:val="00C22555"/>
    <w:rsid w:val="00C25D3E"/>
    <w:rsid w:val="00C276EF"/>
    <w:rsid w:val="00C27CB9"/>
    <w:rsid w:val="00C317DB"/>
    <w:rsid w:val="00C333AD"/>
    <w:rsid w:val="00C346B7"/>
    <w:rsid w:val="00C34FC6"/>
    <w:rsid w:val="00C375BD"/>
    <w:rsid w:val="00C37C30"/>
    <w:rsid w:val="00C41E62"/>
    <w:rsid w:val="00C44731"/>
    <w:rsid w:val="00C47806"/>
    <w:rsid w:val="00C5178B"/>
    <w:rsid w:val="00C5372A"/>
    <w:rsid w:val="00C5372F"/>
    <w:rsid w:val="00C54386"/>
    <w:rsid w:val="00C5471C"/>
    <w:rsid w:val="00C55290"/>
    <w:rsid w:val="00C56F19"/>
    <w:rsid w:val="00C5730D"/>
    <w:rsid w:val="00C64F6A"/>
    <w:rsid w:val="00C702D4"/>
    <w:rsid w:val="00C72623"/>
    <w:rsid w:val="00C72915"/>
    <w:rsid w:val="00C73678"/>
    <w:rsid w:val="00C73AC0"/>
    <w:rsid w:val="00C74E73"/>
    <w:rsid w:val="00C76A09"/>
    <w:rsid w:val="00C8031B"/>
    <w:rsid w:val="00C849AC"/>
    <w:rsid w:val="00C85BE7"/>
    <w:rsid w:val="00C85F63"/>
    <w:rsid w:val="00C86752"/>
    <w:rsid w:val="00C91D44"/>
    <w:rsid w:val="00C9236E"/>
    <w:rsid w:val="00C942A3"/>
    <w:rsid w:val="00C94CE1"/>
    <w:rsid w:val="00C95665"/>
    <w:rsid w:val="00C96A62"/>
    <w:rsid w:val="00C96BCD"/>
    <w:rsid w:val="00CA3F6E"/>
    <w:rsid w:val="00CA47D6"/>
    <w:rsid w:val="00CA4D36"/>
    <w:rsid w:val="00CA4EA3"/>
    <w:rsid w:val="00CB0120"/>
    <w:rsid w:val="00CB0DB7"/>
    <w:rsid w:val="00CB2BFE"/>
    <w:rsid w:val="00CB2F15"/>
    <w:rsid w:val="00CB3016"/>
    <w:rsid w:val="00CB5292"/>
    <w:rsid w:val="00CB66AA"/>
    <w:rsid w:val="00CC13BF"/>
    <w:rsid w:val="00CC40D4"/>
    <w:rsid w:val="00CC423B"/>
    <w:rsid w:val="00CC4C37"/>
    <w:rsid w:val="00CC653F"/>
    <w:rsid w:val="00CC6A40"/>
    <w:rsid w:val="00CD0542"/>
    <w:rsid w:val="00CD1E65"/>
    <w:rsid w:val="00CD464E"/>
    <w:rsid w:val="00CD468A"/>
    <w:rsid w:val="00CD67D5"/>
    <w:rsid w:val="00CE154C"/>
    <w:rsid w:val="00CE43BB"/>
    <w:rsid w:val="00CF22B9"/>
    <w:rsid w:val="00CF4C84"/>
    <w:rsid w:val="00CF5C49"/>
    <w:rsid w:val="00CF6461"/>
    <w:rsid w:val="00D0173E"/>
    <w:rsid w:val="00D02395"/>
    <w:rsid w:val="00D04559"/>
    <w:rsid w:val="00D0617B"/>
    <w:rsid w:val="00D114B9"/>
    <w:rsid w:val="00D132A2"/>
    <w:rsid w:val="00D17332"/>
    <w:rsid w:val="00D236A2"/>
    <w:rsid w:val="00D309DD"/>
    <w:rsid w:val="00D31199"/>
    <w:rsid w:val="00D31428"/>
    <w:rsid w:val="00D31A28"/>
    <w:rsid w:val="00D418A5"/>
    <w:rsid w:val="00D43DCD"/>
    <w:rsid w:val="00D43F3B"/>
    <w:rsid w:val="00D5155F"/>
    <w:rsid w:val="00D51709"/>
    <w:rsid w:val="00D55229"/>
    <w:rsid w:val="00D6015C"/>
    <w:rsid w:val="00D62094"/>
    <w:rsid w:val="00D62549"/>
    <w:rsid w:val="00D64417"/>
    <w:rsid w:val="00D671E8"/>
    <w:rsid w:val="00D672E0"/>
    <w:rsid w:val="00D72B69"/>
    <w:rsid w:val="00D74F2E"/>
    <w:rsid w:val="00D77890"/>
    <w:rsid w:val="00D903BA"/>
    <w:rsid w:val="00D92400"/>
    <w:rsid w:val="00D92679"/>
    <w:rsid w:val="00D93C29"/>
    <w:rsid w:val="00D946D7"/>
    <w:rsid w:val="00DA1472"/>
    <w:rsid w:val="00DB058E"/>
    <w:rsid w:val="00DB3E69"/>
    <w:rsid w:val="00DB7FDC"/>
    <w:rsid w:val="00DC72DF"/>
    <w:rsid w:val="00DD0057"/>
    <w:rsid w:val="00DD02E4"/>
    <w:rsid w:val="00DD473A"/>
    <w:rsid w:val="00DE1C97"/>
    <w:rsid w:val="00DF040F"/>
    <w:rsid w:val="00DF1030"/>
    <w:rsid w:val="00DF1060"/>
    <w:rsid w:val="00DF2E1C"/>
    <w:rsid w:val="00DF378C"/>
    <w:rsid w:val="00DF6D81"/>
    <w:rsid w:val="00E01372"/>
    <w:rsid w:val="00E017E0"/>
    <w:rsid w:val="00E01879"/>
    <w:rsid w:val="00E0238F"/>
    <w:rsid w:val="00E07025"/>
    <w:rsid w:val="00E10413"/>
    <w:rsid w:val="00E113F1"/>
    <w:rsid w:val="00E13622"/>
    <w:rsid w:val="00E1381E"/>
    <w:rsid w:val="00E14624"/>
    <w:rsid w:val="00E16709"/>
    <w:rsid w:val="00E16F5D"/>
    <w:rsid w:val="00E201F9"/>
    <w:rsid w:val="00E21C5A"/>
    <w:rsid w:val="00E22187"/>
    <w:rsid w:val="00E23FB8"/>
    <w:rsid w:val="00E30658"/>
    <w:rsid w:val="00E315B2"/>
    <w:rsid w:val="00E33C26"/>
    <w:rsid w:val="00E345FF"/>
    <w:rsid w:val="00E35037"/>
    <w:rsid w:val="00E40275"/>
    <w:rsid w:val="00E46B1E"/>
    <w:rsid w:val="00E5143D"/>
    <w:rsid w:val="00E53B66"/>
    <w:rsid w:val="00E54A5C"/>
    <w:rsid w:val="00E54A85"/>
    <w:rsid w:val="00E55CA7"/>
    <w:rsid w:val="00E57C1B"/>
    <w:rsid w:val="00E614FD"/>
    <w:rsid w:val="00E7058B"/>
    <w:rsid w:val="00E7212B"/>
    <w:rsid w:val="00E74AAD"/>
    <w:rsid w:val="00E74C1E"/>
    <w:rsid w:val="00E855AC"/>
    <w:rsid w:val="00E85DEC"/>
    <w:rsid w:val="00E86FD1"/>
    <w:rsid w:val="00E94A4C"/>
    <w:rsid w:val="00EA0C54"/>
    <w:rsid w:val="00EA14F9"/>
    <w:rsid w:val="00EA1937"/>
    <w:rsid w:val="00EB0FED"/>
    <w:rsid w:val="00EB34F2"/>
    <w:rsid w:val="00EB5CD7"/>
    <w:rsid w:val="00EB6D18"/>
    <w:rsid w:val="00EC1EE2"/>
    <w:rsid w:val="00EC282A"/>
    <w:rsid w:val="00EC58C1"/>
    <w:rsid w:val="00ED208B"/>
    <w:rsid w:val="00ED280C"/>
    <w:rsid w:val="00ED372B"/>
    <w:rsid w:val="00ED78C8"/>
    <w:rsid w:val="00EE2437"/>
    <w:rsid w:val="00EE2F06"/>
    <w:rsid w:val="00EE3A2C"/>
    <w:rsid w:val="00EE5743"/>
    <w:rsid w:val="00EE6A28"/>
    <w:rsid w:val="00EE7AE1"/>
    <w:rsid w:val="00EF5513"/>
    <w:rsid w:val="00EF5584"/>
    <w:rsid w:val="00EF5BB0"/>
    <w:rsid w:val="00F00CAF"/>
    <w:rsid w:val="00F0361A"/>
    <w:rsid w:val="00F05DC7"/>
    <w:rsid w:val="00F05F23"/>
    <w:rsid w:val="00F07E70"/>
    <w:rsid w:val="00F11070"/>
    <w:rsid w:val="00F147EA"/>
    <w:rsid w:val="00F16CB8"/>
    <w:rsid w:val="00F16F4D"/>
    <w:rsid w:val="00F20B2E"/>
    <w:rsid w:val="00F21EA0"/>
    <w:rsid w:val="00F23440"/>
    <w:rsid w:val="00F24E4C"/>
    <w:rsid w:val="00F26C72"/>
    <w:rsid w:val="00F313F5"/>
    <w:rsid w:val="00F31776"/>
    <w:rsid w:val="00F352F2"/>
    <w:rsid w:val="00F35866"/>
    <w:rsid w:val="00F36716"/>
    <w:rsid w:val="00F37B96"/>
    <w:rsid w:val="00F42327"/>
    <w:rsid w:val="00F44F27"/>
    <w:rsid w:val="00F467F1"/>
    <w:rsid w:val="00F52FB9"/>
    <w:rsid w:val="00F549BC"/>
    <w:rsid w:val="00F578C4"/>
    <w:rsid w:val="00F57F45"/>
    <w:rsid w:val="00F60D17"/>
    <w:rsid w:val="00F610C8"/>
    <w:rsid w:val="00F650FF"/>
    <w:rsid w:val="00F676C2"/>
    <w:rsid w:val="00F71C72"/>
    <w:rsid w:val="00F736EE"/>
    <w:rsid w:val="00F73741"/>
    <w:rsid w:val="00F74235"/>
    <w:rsid w:val="00F74B62"/>
    <w:rsid w:val="00F7544D"/>
    <w:rsid w:val="00F842B7"/>
    <w:rsid w:val="00F855DD"/>
    <w:rsid w:val="00F9007B"/>
    <w:rsid w:val="00F90D4D"/>
    <w:rsid w:val="00F919D3"/>
    <w:rsid w:val="00F91FAB"/>
    <w:rsid w:val="00F971AE"/>
    <w:rsid w:val="00FA00B5"/>
    <w:rsid w:val="00FA0D71"/>
    <w:rsid w:val="00FA5B11"/>
    <w:rsid w:val="00FB0F45"/>
    <w:rsid w:val="00FB6ECF"/>
    <w:rsid w:val="00FC06CF"/>
    <w:rsid w:val="00FC378E"/>
    <w:rsid w:val="00FC4F17"/>
    <w:rsid w:val="00FC5A59"/>
    <w:rsid w:val="00FC749D"/>
    <w:rsid w:val="00FD11F7"/>
    <w:rsid w:val="00FD7C84"/>
    <w:rsid w:val="00FE0AE0"/>
    <w:rsid w:val="00FE1A75"/>
    <w:rsid w:val="00FE45E6"/>
    <w:rsid w:val="00FF1F03"/>
    <w:rsid w:val="00FF439C"/>
    <w:rsid w:val="00FF53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ABA00"/>
  <w15:chartTrackingRefBased/>
  <w15:docId w15:val="{619B822D-41E1-40B0-8C46-0DDAEC027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678F"/>
    <w:pPr>
      <w:keepNext/>
      <w:keepLines/>
      <w:spacing w:before="240" w:after="0"/>
      <w:outlineLvl w:val="0"/>
    </w:pPr>
    <w:rPr>
      <w:rFonts w:ascii="Times New Roman" w:eastAsiaTheme="majorEastAsia" w:hAnsi="Times New Roman" w:cstheme="majorBidi"/>
      <w:color w:val="44546A" w:themeColor="text2"/>
      <w:sz w:val="36"/>
      <w:szCs w:val="32"/>
    </w:rPr>
  </w:style>
  <w:style w:type="paragraph" w:styleId="Heading2">
    <w:name w:val="heading 2"/>
    <w:basedOn w:val="Normal"/>
    <w:link w:val="Heading2Char"/>
    <w:uiPriority w:val="9"/>
    <w:qFormat/>
    <w:rsid w:val="0033678F"/>
    <w:pPr>
      <w:spacing w:before="100" w:beforeAutospacing="1" w:after="100" w:afterAutospacing="1" w:line="240" w:lineRule="auto"/>
      <w:outlineLvl w:val="1"/>
    </w:pPr>
    <w:rPr>
      <w:rFonts w:ascii="Times New Roman" w:eastAsia="Times New Roman" w:hAnsi="Times New Roman" w:cs="Times New Roman"/>
      <w:bCs/>
      <w:color w:val="44546A" w:themeColor="text2"/>
      <w:sz w:val="32"/>
      <w:szCs w:val="36"/>
    </w:rPr>
  </w:style>
  <w:style w:type="paragraph" w:styleId="Heading3">
    <w:name w:val="heading 3"/>
    <w:basedOn w:val="Normal"/>
    <w:next w:val="Normal"/>
    <w:link w:val="Heading3Char"/>
    <w:uiPriority w:val="9"/>
    <w:unhideWhenUsed/>
    <w:qFormat/>
    <w:rsid w:val="00B52B48"/>
    <w:pPr>
      <w:keepNext/>
      <w:keepLines/>
      <w:spacing w:before="40" w:after="0"/>
      <w:outlineLvl w:val="2"/>
    </w:pPr>
    <w:rPr>
      <w:rFonts w:ascii="Times New Roman" w:eastAsiaTheme="majorEastAsia" w:hAnsi="Times New Roman" w:cstheme="majorBidi"/>
      <w:color w:val="44546A" w:themeColor="text2"/>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B7E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7E55"/>
    <w:rPr>
      <w:sz w:val="20"/>
      <w:szCs w:val="20"/>
    </w:rPr>
  </w:style>
  <w:style w:type="character" w:styleId="FootnoteReference">
    <w:name w:val="footnote reference"/>
    <w:basedOn w:val="DefaultParagraphFont"/>
    <w:uiPriority w:val="99"/>
    <w:semiHidden/>
    <w:unhideWhenUsed/>
    <w:rsid w:val="001B7E55"/>
    <w:rPr>
      <w:vertAlign w:val="superscript"/>
    </w:rPr>
  </w:style>
  <w:style w:type="character" w:styleId="Hyperlink">
    <w:name w:val="Hyperlink"/>
    <w:basedOn w:val="DefaultParagraphFont"/>
    <w:uiPriority w:val="99"/>
    <w:unhideWhenUsed/>
    <w:rsid w:val="004B1F09"/>
    <w:rPr>
      <w:color w:val="0563C1" w:themeColor="hyperlink"/>
      <w:u w:val="single"/>
    </w:rPr>
  </w:style>
  <w:style w:type="character" w:styleId="UnresolvedMention">
    <w:name w:val="Unresolved Mention"/>
    <w:basedOn w:val="DefaultParagraphFont"/>
    <w:uiPriority w:val="99"/>
    <w:semiHidden/>
    <w:unhideWhenUsed/>
    <w:rsid w:val="004B1F09"/>
    <w:rPr>
      <w:color w:val="605E5C"/>
      <w:shd w:val="clear" w:color="auto" w:fill="E1DFDD"/>
    </w:rPr>
  </w:style>
  <w:style w:type="paragraph" w:styleId="EndnoteText">
    <w:name w:val="endnote text"/>
    <w:basedOn w:val="Normal"/>
    <w:link w:val="EndnoteTextChar"/>
    <w:uiPriority w:val="99"/>
    <w:semiHidden/>
    <w:unhideWhenUsed/>
    <w:rsid w:val="00E4027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40275"/>
    <w:rPr>
      <w:sz w:val="20"/>
      <w:szCs w:val="20"/>
    </w:rPr>
  </w:style>
  <w:style w:type="character" w:styleId="EndnoteReference">
    <w:name w:val="endnote reference"/>
    <w:basedOn w:val="DefaultParagraphFont"/>
    <w:uiPriority w:val="99"/>
    <w:semiHidden/>
    <w:unhideWhenUsed/>
    <w:rsid w:val="00E40275"/>
    <w:rPr>
      <w:vertAlign w:val="superscript"/>
    </w:rPr>
  </w:style>
  <w:style w:type="paragraph" w:styleId="ListParagraph">
    <w:name w:val="List Paragraph"/>
    <w:basedOn w:val="Normal"/>
    <w:uiPriority w:val="34"/>
    <w:qFormat/>
    <w:rsid w:val="00321FE0"/>
    <w:pPr>
      <w:ind w:left="720"/>
      <w:contextualSpacing/>
    </w:pPr>
  </w:style>
  <w:style w:type="paragraph" w:styleId="IntenseQuote">
    <w:name w:val="Intense Quote"/>
    <w:basedOn w:val="Normal"/>
    <w:next w:val="Normal"/>
    <w:link w:val="IntenseQuoteChar"/>
    <w:uiPriority w:val="30"/>
    <w:qFormat/>
    <w:rsid w:val="008D4D0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D4D06"/>
    <w:rPr>
      <w:i/>
      <w:iCs/>
      <w:color w:val="4472C4" w:themeColor="accent1"/>
    </w:rPr>
  </w:style>
  <w:style w:type="paragraph" w:styleId="Quote">
    <w:name w:val="Quote"/>
    <w:basedOn w:val="Normal"/>
    <w:next w:val="Normal"/>
    <w:link w:val="QuoteChar"/>
    <w:uiPriority w:val="29"/>
    <w:qFormat/>
    <w:rsid w:val="008D4D06"/>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D4D06"/>
    <w:rPr>
      <w:i/>
      <w:iCs/>
      <w:color w:val="404040" w:themeColor="text1" w:themeTint="BF"/>
    </w:rPr>
  </w:style>
  <w:style w:type="character" w:styleId="SubtleReference">
    <w:name w:val="Subtle Reference"/>
    <w:basedOn w:val="DefaultParagraphFont"/>
    <w:uiPriority w:val="31"/>
    <w:qFormat/>
    <w:rsid w:val="008D4D06"/>
    <w:rPr>
      <w:smallCaps/>
      <w:color w:val="5A5A5A" w:themeColor="text1" w:themeTint="A5"/>
    </w:rPr>
  </w:style>
  <w:style w:type="character" w:styleId="Emphasis">
    <w:name w:val="Emphasis"/>
    <w:basedOn w:val="DefaultParagraphFont"/>
    <w:uiPriority w:val="20"/>
    <w:qFormat/>
    <w:rsid w:val="008D4D06"/>
    <w:rPr>
      <w:i/>
      <w:iCs/>
    </w:rPr>
  </w:style>
  <w:style w:type="paragraph" w:styleId="Header">
    <w:name w:val="header"/>
    <w:basedOn w:val="Normal"/>
    <w:link w:val="HeaderChar"/>
    <w:uiPriority w:val="99"/>
    <w:unhideWhenUsed/>
    <w:rsid w:val="004F6C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CD7"/>
  </w:style>
  <w:style w:type="paragraph" w:styleId="Footer">
    <w:name w:val="footer"/>
    <w:basedOn w:val="Normal"/>
    <w:link w:val="FooterChar"/>
    <w:uiPriority w:val="99"/>
    <w:unhideWhenUsed/>
    <w:rsid w:val="004F6C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CD7"/>
  </w:style>
  <w:style w:type="character" w:customStyle="1" w:styleId="Heading2Char">
    <w:name w:val="Heading 2 Char"/>
    <w:basedOn w:val="DefaultParagraphFont"/>
    <w:link w:val="Heading2"/>
    <w:uiPriority w:val="9"/>
    <w:rsid w:val="0033678F"/>
    <w:rPr>
      <w:rFonts w:ascii="Times New Roman" w:eastAsia="Times New Roman" w:hAnsi="Times New Roman" w:cs="Times New Roman"/>
      <w:bCs/>
      <w:color w:val="44546A" w:themeColor="text2"/>
      <w:sz w:val="32"/>
      <w:szCs w:val="36"/>
    </w:rPr>
  </w:style>
  <w:style w:type="character" w:customStyle="1" w:styleId="Heading1Char">
    <w:name w:val="Heading 1 Char"/>
    <w:basedOn w:val="DefaultParagraphFont"/>
    <w:link w:val="Heading1"/>
    <w:uiPriority w:val="9"/>
    <w:rsid w:val="0033678F"/>
    <w:rPr>
      <w:rFonts w:ascii="Times New Roman" w:eastAsiaTheme="majorEastAsia" w:hAnsi="Times New Roman" w:cstheme="majorBidi"/>
      <w:color w:val="44546A" w:themeColor="text2"/>
      <w:sz w:val="36"/>
      <w:szCs w:val="32"/>
    </w:rPr>
  </w:style>
  <w:style w:type="character" w:customStyle="1" w:styleId="Heading3Char">
    <w:name w:val="Heading 3 Char"/>
    <w:basedOn w:val="DefaultParagraphFont"/>
    <w:link w:val="Heading3"/>
    <w:uiPriority w:val="9"/>
    <w:rsid w:val="00B52B48"/>
    <w:rPr>
      <w:rFonts w:ascii="Times New Roman" w:eastAsiaTheme="majorEastAsia" w:hAnsi="Times New Roman" w:cstheme="majorBidi"/>
      <w:color w:val="44546A" w:themeColor="text2"/>
      <w:sz w:val="28"/>
      <w:szCs w:val="24"/>
    </w:rPr>
  </w:style>
  <w:style w:type="paragraph" w:styleId="Title">
    <w:name w:val="Title"/>
    <w:basedOn w:val="Normal"/>
    <w:next w:val="Normal"/>
    <w:link w:val="TitleChar"/>
    <w:uiPriority w:val="10"/>
    <w:qFormat/>
    <w:rsid w:val="0029236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92366"/>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FF53DD"/>
    <w:pPr>
      <w:outlineLvl w:val="9"/>
    </w:pPr>
    <w:rPr>
      <w:rFonts w:asciiTheme="majorHAnsi" w:hAnsiTheme="majorHAnsi"/>
      <w:color w:val="2F5496" w:themeColor="accent1" w:themeShade="BF"/>
      <w:sz w:val="32"/>
      <w:lang w:eastAsia="en-US"/>
    </w:rPr>
  </w:style>
  <w:style w:type="paragraph" w:styleId="TOC1">
    <w:name w:val="toc 1"/>
    <w:basedOn w:val="Normal"/>
    <w:next w:val="Normal"/>
    <w:autoRedefine/>
    <w:uiPriority w:val="39"/>
    <w:unhideWhenUsed/>
    <w:rsid w:val="00FF53DD"/>
    <w:pPr>
      <w:spacing w:after="100"/>
    </w:pPr>
  </w:style>
  <w:style w:type="paragraph" w:styleId="TOC2">
    <w:name w:val="toc 2"/>
    <w:basedOn w:val="Normal"/>
    <w:next w:val="Normal"/>
    <w:autoRedefine/>
    <w:uiPriority w:val="39"/>
    <w:unhideWhenUsed/>
    <w:rsid w:val="00FF53DD"/>
    <w:pPr>
      <w:spacing w:after="100"/>
      <w:ind w:left="220"/>
    </w:pPr>
  </w:style>
  <w:style w:type="paragraph" w:styleId="TOC3">
    <w:name w:val="toc 3"/>
    <w:basedOn w:val="Normal"/>
    <w:next w:val="Normal"/>
    <w:autoRedefine/>
    <w:uiPriority w:val="39"/>
    <w:unhideWhenUsed/>
    <w:rsid w:val="00FF53D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15695">
      <w:bodyDiv w:val="1"/>
      <w:marLeft w:val="0"/>
      <w:marRight w:val="0"/>
      <w:marTop w:val="0"/>
      <w:marBottom w:val="0"/>
      <w:divBdr>
        <w:top w:val="none" w:sz="0" w:space="0" w:color="auto"/>
        <w:left w:val="none" w:sz="0" w:space="0" w:color="auto"/>
        <w:bottom w:val="none" w:sz="0" w:space="0" w:color="auto"/>
        <w:right w:val="none" w:sz="0" w:space="0" w:color="auto"/>
      </w:divBdr>
    </w:div>
    <w:div w:id="700864224">
      <w:bodyDiv w:val="1"/>
      <w:marLeft w:val="0"/>
      <w:marRight w:val="0"/>
      <w:marTop w:val="0"/>
      <w:marBottom w:val="0"/>
      <w:divBdr>
        <w:top w:val="none" w:sz="0" w:space="0" w:color="auto"/>
        <w:left w:val="none" w:sz="0" w:space="0" w:color="auto"/>
        <w:bottom w:val="none" w:sz="0" w:space="0" w:color="auto"/>
        <w:right w:val="none" w:sz="0" w:space="0" w:color="auto"/>
      </w:divBdr>
    </w:div>
    <w:div w:id="981541550">
      <w:bodyDiv w:val="1"/>
      <w:marLeft w:val="0"/>
      <w:marRight w:val="0"/>
      <w:marTop w:val="0"/>
      <w:marBottom w:val="0"/>
      <w:divBdr>
        <w:top w:val="none" w:sz="0" w:space="0" w:color="auto"/>
        <w:left w:val="none" w:sz="0" w:space="0" w:color="auto"/>
        <w:bottom w:val="none" w:sz="0" w:space="0" w:color="auto"/>
        <w:right w:val="none" w:sz="0" w:space="0" w:color="auto"/>
      </w:divBdr>
    </w:div>
    <w:div w:id="134836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consilium.europa.eu/en/press/press-releases/2022/03/02/eu-imposes-sanctions-on-state-owned-outlets-rt-russia-today-and-sputnik-s-broadcasting-in-the-eu/" TargetMode="External"/><Relationship Id="rId3" Type="http://schemas.openxmlformats.org/officeDocument/2006/relationships/hyperlink" Target="https://foreignpolicy.com/2005/12/01/spinning-russia/" TargetMode="External"/><Relationship Id="rId7" Type="http://schemas.openxmlformats.org/officeDocument/2006/relationships/hyperlink" Target="http://www.washingtonpost.com/news/posteverything/wp/2017/09/20/rt-wants-to-spread-moscows-propaganda-here-lets-treat-it-that-way/" TargetMode="External"/><Relationship Id="rId2" Type="http://schemas.openxmlformats.org/officeDocument/2006/relationships/hyperlink" Target="http://www.rt.com/about-us/" TargetMode="External"/><Relationship Id="rId1" Type="http://schemas.openxmlformats.org/officeDocument/2006/relationships/hyperlink" Target="https://foreignpolicy.com/2005/12/01/spinning-russia/" TargetMode="External"/><Relationship Id="rId6" Type="http://schemas.openxmlformats.org/officeDocument/2006/relationships/hyperlink" Target="https://www.theguardian.com/media/2015/sep/21/rt-sanctioned-over-series-of-misleading-articles-by-media-watchdog" TargetMode="External"/><Relationship Id="rId5" Type="http://schemas.openxmlformats.org/officeDocument/2006/relationships/hyperlink" Target="http://www.washingtonpost.com/news/posteverything/wp/2017/09/20/rt-wants-to-spread-moscows-propaganda-here-lets-treat-it-that-way/" TargetMode="External"/><Relationship Id="rId10" Type="http://schemas.openxmlformats.org/officeDocument/2006/relationships/hyperlink" Target="https://crtc.gc.ca/eng/archive/2008/pb2008-100.htm" TargetMode="External"/><Relationship Id="rId4" Type="http://schemas.openxmlformats.org/officeDocument/2006/relationships/hyperlink" Target="http://www.rt.com/about-us/" TargetMode="External"/><Relationship Id="rId9" Type="http://schemas.openxmlformats.org/officeDocument/2006/relationships/hyperlink" Target="http://www.rt.com/op-ed/545161-capitol-legacy-culture-fe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5B19D-7ECF-4F18-AF38-A16FD211F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1904</TotalTime>
  <Pages>24</Pages>
  <Words>6558</Words>
  <Characters>37381</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 Ozensoy</dc:creator>
  <cp:keywords/>
  <dc:description/>
  <cp:lastModifiedBy>Cem Ozensoy</cp:lastModifiedBy>
  <cp:revision>1009</cp:revision>
  <dcterms:created xsi:type="dcterms:W3CDTF">2022-04-17T21:17:00Z</dcterms:created>
  <dcterms:modified xsi:type="dcterms:W3CDTF">2022-04-20T23:27:00Z</dcterms:modified>
</cp:coreProperties>
</file>